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E8C09" w14:textId="77777777" w:rsidR="00BF16E5" w:rsidRPr="00DC6AE3" w:rsidRDefault="00BF16E5" w:rsidP="00BF16E5">
      <w:pPr>
        <w:rPr>
          <w:rFonts w:cs="Arial"/>
          <w:color w:val="FF0000"/>
          <w:szCs w:val="20"/>
          <w:lang w:eastAsia="en-US"/>
        </w:rPr>
      </w:pPr>
    </w:p>
    <w:p w14:paraId="6317F67C" w14:textId="5A0F974F" w:rsidR="00DB206B" w:rsidRPr="00DC6AE3" w:rsidRDefault="00DB206B" w:rsidP="00DB206B">
      <w:pPr>
        <w:spacing w:after="120" w:line="276" w:lineRule="auto"/>
        <w:ind w:right="-15"/>
        <w:jc w:val="center"/>
        <w:rPr>
          <w:rFonts w:cs="Arial"/>
          <w:b/>
          <w:bCs/>
          <w:szCs w:val="20"/>
        </w:rPr>
      </w:pPr>
      <w:r w:rsidRPr="00DC6AE3">
        <w:rPr>
          <w:rFonts w:cs="Arial"/>
          <w:b/>
          <w:bCs/>
          <w:szCs w:val="20"/>
        </w:rPr>
        <w:t>TERMO DE REFERÊNCIA</w:t>
      </w:r>
    </w:p>
    <w:p w14:paraId="59794C20" w14:textId="77777777" w:rsidR="005B265D" w:rsidRPr="00DC6AE3" w:rsidRDefault="005B265D" w:rsidP="005B265D">
      <w:pPr>
        <w:spacing w:after="120" w:line="276" w:lineRule="auto"/>
        <w:ind w:right="-15"/>
        <w:jc w:val="center"/>
        <w:rPr>
          <w:rFonts w:cs="Arial"/>
          <w:b/>
          <w:bCs/>
          <w:szCs w:val="20"/>
        </w:rPr>
      </w:pPr>
      <w:r w:rsidRPr="00DC6AE3">
        <w:rPr>
          <w:rFonts w:cs="Arial"/>
          <w:b/>
          <w:bCs/>
          <w:szCs w:val="20"/>
        </w:rPr>
        <w:t>AGÊNCIA NACIONAL DE TRANSPORTES AQUAVIÁRIOS - ANTAQ</w:t>
      </w:r>
    </w:p>
    <w:p w14:paraId="1D6A4969" w14:textId="365C1F8E" w:rsidR="005B265D" w:rsidRPr="00DC6AE3" w:rsidRDefault="005B265D" w:rsidP="005B265D">
      <w:pPr>
        <w:spacing w:after="120" w:line="276" w:lineRule="auto"/>
        <w:ind w:right="-15"/>
        <w:jc w:val="center"/>
        <w:rPr>
          <w:rFonts w:cs="Arial"/>
          <w:b/>
          <w:bCs/>
          <w:szCs w:val="20"/>
        </w:rPr>
      </w:pPr>
      <w:r w:rsidRPr="00DC6AE3">
        <w:rPr>
          <w:rFonts w:cs="Arial"/>
          <w:b/>
          <w:bCs/>
          <w:szCs w:val="20"/>
        </w:rPr>
        <w:t xml:space="preserve">Processo Administrativo n° </w:t>
      </w:r>
      <w:r w:rsidR="004B6A61" w:rsidRPr="00BC3F5B">
        <w:rPr>
          <w:rFonts w:cs="Arial"/>
          <w:b/>
          <w:bCs/>
          <w:szCs w:val="20"/>
        </w:rPr>
        <w:t>50300.</w:t>
      </w:r>
      <w:r w:rsidR="00BC3F5B" w:rsidRPr="00BC3F5B">
        <w:rPr>
          <w:rFonts w:cs="Arial"/>
          <w:b/>
          <w:bCs/>
          <w:szCs w:val="20"/>
        </w:rPr>
        <w:t>022550/2020-25</w:t>
      </w:r>
    </w:p>
    <w:p w14:paraId="3334C875" w14:textId="77777777" w:rsidR="00DB206B" w:rsidRPr="00DC6AE3" w:rsidRDefault="00DB206B" w:rsidP="000D390A">
      <w:pPr>
        <w:pStyle w:val="Nivel1"/>
        <w:rPr>
          <w:rFonts w:cs="Arial"/>
          <w:color w:val="auto"/>
          <w:sz w:val="22"/>
          <w:szCs w:val="22"/>
        </w:rPr>
      </w:pPr>
      <w:r w:rsidRPr="00DC6AE3">
        <w:rPr>
          <w:rFonts w:cs="Arial"/>
          <w:color w:val="auto"/>
          <w:sz w:val="22"/>
          <w:szCs w:val="22"/>
        </w:rPr>
        <w:t>DO OBJETO</w:t>
      </w:r>
    </w:p>
    <w:p w14:paraId="16E11BE8" w14:textId="6A3DD843" w:rsidR="005B265D" w:rsidRPr="00DC6AE3" w:rsidRDefault="005B265D" w:rsidP="005B265D">
      <w:pPr>
        <w:pStyle w:val="PargrafodaLista"/>
        <w:numPr>
          <w:ilvl w:val="1"/>
          <w:numId w:val="1"/>
        </w:numPr>
        <w:spacing w:before="120" w:after="120" w:line="276" w:lineRule="auto"/>
        <w:ind w:left="284" w:firstLine="0"/>
        <w:jc w:val="both"/>
        <w:rPr>
          <w:rFonts w:cs="Arial"/>
          <w:sz w:val="22"/>
          <w:szCs w:val="22"/>
        </w:rPr>
      </w:pPr>
      <w:r w:rsidRPr="00DC6AE3">
        <w:rPr>
          <w:rFonts w:cs="Arial"/>
          <w:sz w:val="22"/>
          <w:szCs w:val="22"/>
        </w:rPr>
        <w:t>Contratação de empresa especializada para prestação do serviço de transporte rodoviário intr</w:t>
      </w:r>
      <w:r w:rsidR="004B6A61" w:rsidRPr="00DC6AE3">
        <w:rPr>
          <w:rFonts w:cs="Arial"/>
          <w:sz w:val="22"/>
          <w:szCs w:val="22"/>
        </w:rPr>
        <w:t>a</w:t>
      </w:r>
      <w:r w:rsidRPr="00DC6AE3">
        <w:rPr>
          <w:rFonts w:cs="Arial"/>
          <w:sz w:val="22"/>
          <w:szCs w:val="22"/>
        </w:rPr>
        <w:t xml:space="preserve">municipal de mobiliários, cargas e volumes em geral de propriedade da ANTAQ, localizados na Unidade Regional de </w:t>
      </w:r>
      <w:r w:rsidR="00BE0E2A">
        <w:rPr>
          <w:rFonts w:cs="Arial"/>
          <w:sz w:val="22"/>
          <w:szCs w:val="22"/>
        </w:rPr>
        <w:t>Porto Alegre</w:t>
      </w:r>
      <w:r w:rsidRPr="00DC6AE3">
        <w:rPr>
          <w:rFonts w:cs="Arial"/>
          <w:sz w:val="22"/>
          <w:szCs w:val="22"/>
        </w:rPr>
        <w:t xml:space="preserve"> – URE</w:t>
      </w:r>
      <w:r w:rsidR="00BE0E2A">
        <w:rPr>
          <w:rFonts w:cs="Arial"/>
          <w:sz w:val="22"/>
          <w:szCs w:val="22"/>
        </w:rPr>
        <w:t>PL</w:t>
      </w:r>
      <w:r w:rsidRPr="00DC6AE3">
        <w:rPr>
          <w:rFonts w:cs="Arial"/>
          <w:sz w:val="22"/>
          <w:szCs w:val="22"/>
        </w:rPr>
        <w:t>, conforme condições, quantidades e exigências estabelecidas neste instrumento:</w:t>
      </w:r>
    </w:p>
    <w:tbl>
      <w:tblPr>
        <w:tblW w:w="80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098"/>
      </w:tblGrid>
      <w:tr w:rsidR="005B265D" w:rsidRPr="00DC6AE3" w14:paraId="4A0CDFE5" w14:textId="77777777" w:rsidTr="00EE10F4">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54F84A9D" w14:textId="77777777" w:rsidR="005B265D" w:rsidRPr="00DC6AE3" w:rsidRDefault="005B265D" w:rsidP="00EE10F4">
            <w:pPr>
              <w:widowControl w:val="0"/>
              <w:suppressAutoHyphens/>
              <w:jc w:val="center"/>
              <w:rPr>
                <w:rFonts w:cs="Arial"/>
                <w:b/>
                <w:bCs/>
                <w:sz w:val="22"/>
                <w:szCs w:val="22"/>
              </w:rPr>
            </w:pPr>
            <w:r w:rsidRPr="00DC6AE3">
              <w:rPr>
                <w:rFonts w:cs="Arial"/>
                <w:b/>
                <w:bCs/>
                <w:sz w:val="22"/>
                <w:szCs w:val="22"/>
              </w:rPr>
              <w:t>Item</w:t>
            </w:r>
          </w:p>
          <w:p w14:paraId="54535B7D" w14:textId="77777777" w:rsidR="005B265D" w:rsidRPr="00DC6AE3" w:rsidRDefault="005B265D" w:rsidP="00EE10F4">
            <w:pPr>
              <w:jc w:val="center"/>
              <w:rPr>
                <w:rFonts w:cs="Arial"/>
                <w:b/>
                <w:bCs/>
                <w:sz w:val="22"/>
                <w:szCs w:val="22"/>
              </w:rPr>
            </w:pPr>
          </w:p>
        </w:tc>
        <w:tc>
          <w:tcPr>
            <w:tcW w:w="7098"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14:paraId="1CE9A287" w14:textId="77777777" w:rsidR="005B265D" w:rsidRPr="00DC6AE3" w:rsidRDefault="005B265D" w:rsidP="00EE10F4">
            <w:pPr>
              <w:widowControl w:val="0"/>
              <w:suppressAutoHyphens/>
              <w:jc w:val="center"/>
              <w:rPr>
                <w:rFonts w:cs="Arial"/>
                <w:b/>
                <w:sz w:val="22"/>
                <w:szCs w:val="22"/>
              </w:rPr>
            </w:pPr>
            <w:r w:rsidRPr="00DC6AE3">
              <w:rPr>
                <w:rFonts w:cs="Arial"/>
                <w:b/>
                <w:bCs/>
                <w:sz w:val="22"/>
                <w:szCs w:val="22"/>
              </w:rPr>
              <w:t>Especificação</w:t>
            </w:r>
          </w:p>
        </w:tc>
      </w:tr>
      <w:tr w:rsidR="005B265D" w:rsidRPr="00DC6AE3" w14:paraId="4BB5CD89" w14:textId="77777777" w:rsidTr="00EE10F4">
        <w:trPr>
          <w:jc w:val="center"/>
        </w:trPr>
        <w:tc>
          <w:tcPr>
            <w:tcW w:w="988" w:type="dxa"/>
            <w:tcBorders>
              <w:top w:val="single" w:sz="4" w:space="0" w:color="000000"/>
              <w:left w:val="single" w:sz="4" w:space="0" w:color="000000"/>
              <w:bottom w:val="single" w:sz="4" w:space="0" w:color="000000"/>
              <w:right w:val="single" w:sz="4" w:space="0" w:color="000000"/>
            </w:tcBorders>
          </w:tcPr>
          <w:p w14:paraId="6AF63FA3" w14:textId="77777777" w:rsidR="005B265D" w:rsidRPr="00DC6AE3" w:rsidRDefault="005B265D" w:rsidP="00EE10F4">
            <w:pPr>
              <w:widowControl w:val="0"/>
              <w:suppressAutoHyphens/>
              <w:spacing w:before="240" w:after="120" w:line="276" w:lineRule="auto"/>
              <w:jc w:val="center"/>
              <w:rPr>
                <w:rFonts w:cs="Arial"/>
                <w:szCs w:val="20"/>
              </w:rPr>
            </w:pPr>
            <w:r w:rsidRPr="00DC6AE3">
              <w:rPr>
                <w:rFonts w:cs="Arial"/>
                <w:szCs w:val="20"/>
              </w:rPr>
              <w:t>1</w:t>
            </w:r>
          </w:p>
        </w:tc>
        <w:tc>
          <w:tcPr>
            <w:tcW w:w="7098" w:type="dxa"/>
            <w:tcBorders>
              <w:top w:val="single" w:sz="4" w:space="0" w:color="000000"/>
              <w:left w:val="single" w:sz="4" w:space="0" w:color="000000"/>
              <w:bottom w:val="single" w:sz="4" w:space="0" w:color="000000"/>
              <w:right w:val="single" w:sz="4" w:space="0" w:color="000000"/>
            </w:tcBorders>
          </w:tcPr>
          <w:p w14:paraId="03F43C31" w14:textId="507379B1" w:rsidR="005B265D" w:rsidRPr="00DC6AE3" w:rsidRDefault="005B265D" w:rsidP="004B6A61">
            <w:pPr>
              <w:widowControl w:val="0"/>
              <w:suppressAutoHyphens/>
              <w:spacing w:after="120" w:line="276" w:lineRule="auto"/>
              <w:rPr>
                <w:rFonts w:cs="Arial"/>
                <w:szCs w:val="20"/>
              </w:rPr>
            </w:pPr>
            <w:r w:rsidRPr="00DC6AE3">
              <w:rPr>
                <w:rFonts w:cs="Arial"/>
                <w:szCs w:val="20"/>
              </w:rPr>
              <w:t>Executar os serviços de transporte rodoviário intr</w:t>
            </w:r>
            <w:r w:rsidR="004B6A61" w:rsidRPr="00DC6AE3">
              <w:rPr>
                <w:rFonts w:cs="Arial"/>
                <w:szCs w:val="20"/>
              </w:rPr>
              <w:t>a</w:t>
            </w:r>
            <w:r w:rsidRPr="00DC6AE3">
              <w:rPr>
                <w:rFonts w:cs="Arial"/>
                <w:szCs w:val="20"/>
              </w:rPr>
              <w:t>municipal de mobiliários, cargas e volumes em geral. Os serviços compreendem a desmontagem, embalagem e retirada do local de origem, descarga dos mobiliários, cargas e volumes em geral, transportados e montados no local indicado, bem como todas as operações que se fizerem necessárias para a execução do respectivo serviço.</w:t>
            </w:r>
          </w:p>
        </w:tc>
      </w:tr>
    </w:tbl>
    <w:p w14:paraId="4D272827" w14:textId="77777777" w:rsidR="00A82891" w:rsidRPr="00DC6AE3" w:rsidRDefault="00A82891" w:rsidP="00DB206B">
      <w:pPr>
        <w:autoSpaceDE w:val="0"/>
        <w:spacing w:after="120" w:line="276" w:lineRule="auto"/>
        <w:jc w:val="both"/>
        <w:rPr>
          <w:rFonts w:cs="Arial"/>
          <w:szCs w:val="20"/>
        </w:rPr>
      </w:pPr>
    </w:p>
    <w:p w14:paraId="1953782B" w14:textId="20743CB2" w:rsidR="00DD3603" w:rsidRPr="00DC6AE3" w:rsidRDefault="00DD3603" w:rsidP="00A50CE8">
      <w:pPr>
        <w:numPr>
          <w:ilvl w:val="1"/>
          <w:numId w:val="1"/>
        </w:numPr>
        <w:spacing w:before="120" w:after="120" w:line="276" w:lineRule="auto"/>
        <w:ind w:left="284" w:firstLine="0"/>
        <w:jc w:val="both"/>
        <w:rPr>
          <w:rFonts w:cs="Arial"/>
          <w:sz w:val="22"/>
          <w:szCs w:val="22"/>
        </w:rPr>
      </w:pPr>
      <w:r w:rsidRPr="00DC6AE3">
        <w:rPr>
          <w:rFonts w:cs="Arial"/>
          <w:sz w:val="22"/>
          <w:szCs w:val="22"/>
        </w:rPr>
        <w:t xml:space="preserve">O objeto da licitação </w:t>
      </w:r>
      <w:r w:rsidR="00042693" w:rsidRPr="00DC6AE3">
        <w:rPr>
          <w:rFonts w:cs="Arial"/>
          <w:sz w:val="22"/>
          <w:szCs w:val="22"/>
        </w:rPr>
        <w:t>tem a natureza de serviço comum.</w:t>
      </w:r>
    </w:p>
    <w:p w14:paraId="26494E62" w14:textId="71ADE069" w:rsidR="00042693" w:rsidRPr="00DC6AE3" w:rsidRDefault="00042693" w:rsidP="00A50CE8">
      <w:pPr>
        <w:numPr>
          <w:ilvl w:val="1"/>
          <w:numId w:val="1"/>
        </w:numPr>
        <w:spacing w:before="120" w:after="120" w:line="276" w:lineRule="auto"/>
        <w:ind w:left="284" w:firstLine="0"/>
        <w:jc w:val="both"/>
        <w:rPr>
          <w:rFonts w:cs="Arial"/>
          <w:sz w:val="22"/>
          <w:szCs w:val="22"/>
        </w:rPr>
      </w:pPr>
      <w:r w:rsidRPr="00DC6AE3">
        <w:rPr>
          <w:rFonts w:cs="Arial"/>
          <w:sz w:val="22"/>
          <w:szCs w:val="22"/>
        </w:rPr>
        <w:t>A contratação abrange mão-de-obra e todo o material necessário para a realização do serviço.</w:t>
      </w:r>
    </w:p>
    <w:p w14:paraId="11CD741E" w14:textId="64C841D1" w:rsidR="00A82891" w:rsidRPr="00DC6AE3" w:rsidRDefault="00A82891" w:rsidP="00A50CE8">
      <w:pPr>
        <w:numPr>
          <w:ilvl w:val="1"/>
          <w:numId w:val="1"/>
        </w:numPr>
        <w:spacing w:before="120" w:after="120" w:line="276" w:lineRule="auto"/>
        <w:ind w:left="284" w:firstLine="0"/>
        <w:jc w:val="both"/>
        <w:rPr>
          <w:rFonts w:cs="Arial"/>
          <w:sz w:val="22"/>
          <w:szCs w:val="22"/>
        </w:rPr>
      </w:pPr>
      <w:r w:rsidRPr="00DC6AE3">
        <w:rPr>
          <w:rFonts w:cs="Arial"/>
          <w:sz w:val="22"/>
          <w:szCs w:val="22"/>
        </w:rPr>
        <w:t>A presente contratação adotará como regime de execução a Empreitada por Preço Global</w:t>
      </w:r>
      <w:r w:rsidR="00042693" w:rsidRPr="00DC6AE3">
        <w:rPr>
          <w:rFonts w:cs="Arial"/>
          <w:sz w:val="22"/>
          <w:szCs w:val="22"/>
        </w:rPr>
        <w:t>.</w:t>
      </w:r>
    </w:p>
    <w:p w14:paraId="3E6B5864" w14:textId="79816175" w:rsidR="00042693" w:rsidRPr="00DC6AE3" w:rsidRDefault="00042693" w:rsidP="00042693">
      <w:pPr>
        <w:numPr>
          <w:ilvl w:val="1"/>
          <w:numId w:val="1"/>
        </w:numPr>
        <w:spacing w:before="120" w:after="120" w:line="276" w:lineRule="auto"/>
        <w:ind w:left="284" w:firstLine="0"/>
        <w:jc w:val="both"/>
        <w:rPr>
          <w:rFonts w:cs="Arial"/>
          <w:sz w:val="22"/>
          <w:szCs w:val="22"/>
        </w:rPr>
      </w:pPr>
      <w:r w:rsidRPr="00DC6AE3">
        <w:rPr>
          <w:rFonts w:cs="Arial"/>
          <w:sz w:val="22"/>
          <w:szCs w:val="22"/>
        </w:rPr>
        <w:t>O prazo de vigência do contrato é de 30 (trinta) dias, podendo ser encerrado antes do prazo de vigência, quando concluída a prestação do serviço.</w:t>
      </w:r>
      <w:r w:rsidR="006A0019" w:rsidRPr="006A0019">
        <w:rPr>
          <w:rFonts w:cs="Arial"/>
          <w:sz w:val="22"/>
          <w:szCs w:val="22"/>
        </w:rPr>
        <w:t xml:space="preserve"> Conforme previsto no art. 62 da Lei nº 8.666, de 1993, o contrato poderá ser substituído pela nota de empenho.</w:t>
      </w:r>
    </w:p>
    <w:p w14:paraId="2195BE70" w14:textId="04859A52" w:rsidR="001F7078" w:rsidRPr="00DC6AE3" w:rsidRDefault="001F7078" w:rsidP="001F7078">
      <w:pPr>
        <w:numPr>
          <w:ilvl w:val="1"/>
          <w:numId w:val="1"/>
        </w:numPr>
        <w:spacing w:before="120" w:after="120" w:line="276" w:lineRule="auto"/>
        <w:ind w:left="284" w:firstLine="0"/>
        <w:jc w:val="both"/>
        <w:rPr>
          <w:rFonts w:cs="Arial"/>
          <w:sz w:val="22"/>
          <w:szCs w:val="22"/>
        </w:rPr>
      </w:pPr>
      <w:r w:rsidRPr="00DC6AE3">
        <w:rPr>
          <w:rFonts w:cs="Arial"/>
          <w:sz w:val="22"/>
          <w:szCs w:val="22"/>
        </w:rPr>
        <w:t>A prestação do serviço será iniciada nas datas e locais detalhados no item 7 deste termo de referência.</w:t>
      </w:r>
    </w:p>
    <w:p w14:paraId="3A5D2D25" w14:textId="77777777" w:rsidR="001E65F6" w:rsidRPr="004D0462" w:rsidRDefault="001E65F6" w:rsidP="000D390A">
      <w:pPr>
        <w:pStyle w:val="Nivel1"/>
        <w:rPr>
          <w:rFonts w:cs="Arial"/>
          <w:color w:val="auto"/>
          <w:sz w:val="22"/>
          <w:szCs w:val="22"/>
        </w:rPr>
      </w:pPr>
      <w:r w:rsidRPr="004D0462">
        <w:rPr>
          <w:rFonts w:cs="Arial"/>
          <w:color w:val="auto"/>
          <w:sz w:val="22"/>
          <w:szCs w:val="22"/>
        </w:rPr>
        <w:t>JUSTIFICATIVA E OBJETIVO DA CONTRATAÇÃO</w:t>
      </w:r>
    </w:p>
    <w:p w14:paraId="2C15B410" w14:textId="3310A344" w:rsidR="006A0019" w:rsidRPr="004D0462" w:rsidRDefault="006A0019" w:rsidP="006A0019">
      <w:pPr>
        <w:numPr>
          <w:ilvl w:val="1"/>
          <w:numId w:val="1"/>
        </w:numPr>
        <w:spacing w:before="120" w:after="120" w:line="276" w:lineRule="auto"/>
        <w:ind w:left="284" w:firstLine="0"/>
        <w:jc w:val="both"/>
        <w:rPr>
          <w:rFonts w:eastAsiaTheme="minorHAnsi" w:cs="Arial"/>
          <w:sz w:val="22"/>
          <w:szCs w:val="22"/>
          <w:lang w:eastAsia="en-US"/>
        </w:rPr>
      </w:pPr>
      <w:r w:rsidRPr="004D0462">
        <w:rPr>
          <w:rFonts w:cs="Arial"/>
          <w:sz w:val="22"/>
          <w:szCs w:val="22"/>
        </w:rPr>
        <w:t xml:space="preserve">Diante da mudança de endereço da Unidade Regional de </w:t>
      </w:r>
      <w:r w:rsidR="00BE0E2A">
        <w:rPr>
          <w:rFonts w:cs="Arial"/>
          <w:sz w:val="22"/>
          <w:szCs w:val="22"/>
        </w:rPr>
        <w:t>Porto Alegre</w:t>
      </w:r>
      <w:r w:rsidRPr="004D0462">
        <w:rPr>
          <w:rFonts w:cs="Arial"/>
          <w:sz w:val="22"/>
          <w:szCs w:val="22"/>
        </w:rPr>
        <w:t xml:space="preserve"> – </w:t>
      </w:r>
      <w:r w:rsidR="00BE0E2A">
        <w:rPr>
          <w:rFonts w:cs="Arial"/>
          <w:sz w:val="22"/>
          <w:szCs w:val="22"/>
        </w:rPr>
        <w:t>UREPL</w:t>
      </w:r>
      <w:r w:rsidRPr="004D0462">
        <w:rPr>
          <w:rFonts w:cs="Arial"/>
          <w:sz w:val="22"/>
          <w:szCs w:val="22"/>
        </w:rPr>
        <w:t xml:space="preserve">, </w:t>
      </w:r>
      <w:r w:rsidRPr="004D0462">
        <w:rPr>
          <w:rFonts w:eastAsiaTheme="minorHAnsi" w:cs="Arial"/>
          <w:sz w:val="22"/>
          <w:szCs w:val="22"/>
          <w:lang w:eastAsia="en-US"/>
        </w:rPr>
        <w:t xml:space="preserve">toda a estrutura da sede administrativa da ANTAQ no estado do </w:t>
      </w:r>
      <w:r w:rsidR="00BE0E2A">
        <w:rPr>
          <w:rFonts w:eastAsiaTheme="minorHAnsi" w:cs="Arial"/>
          <w:sz w:val="22"/>
          <w:szCs w:val="22"/>
          <w:lang w:eastAsia="en-US"/>
        </w:rPr>
        <w:t>Rio Grande do Sul</w:t>
      </w:r>
      <w:r w:rsidRPr="004D0462">
        <w:rPr>
          <w:rFonts w:eastAsiaTheme="minorHAnsi" w:cs="Arial"/>
          <w:sz w:val="22"/>
          <w:szCs w:val="22"/>
          <w:lang w:eastAsia="en-US"/>
        </w:rPr>
        <w:t xml:space="preserve"> será transferida </w:t>
      </w:r>
      <w:r w:rsidRPr="004D0462">
        <w:rPr>
          <w:rFonts w:cs="Arial"/>
          <w:sz w:val="22"/>
          <w:szCs w:val="22"/>
        </w:rPr>
        <w:t>para um novo endereço</w:t>
      </w:r>
      <w:r w:rsidRPr="004D0462">
        <w:rPr>
          <w:rFonts w:eastAsiaTheme="minorHAnsi" w:cs="Arial"/>
          <w:sz w:val="22"/>
          <w:szCs w:val="22"/>
          <w:lang w:eastAsia="en-US"/>
        </w:rPr>
        <w:t>. Como os mobiliários e equipamentos serão reaproveitados na nova sede, faz-se necessária a contratação de empresa especializada no serviço de transporte rodoviário intramunicipal para transportar estes itens</w:t>
      </w:r>
      <w:r w:rsidR="00A86069" w:rsidRPr="004D0462">
        <w:rPr>
          <w:rFonts w:eastAsiaTheme="minorHAnsi" w:cs="Arial"/>
          <w:sz w:val="22"/>
          <w:szCs w:val="22"/>
          <w:lang w:eastAsia="en-US"/>
        </w:rPr>
        <w:t xml:space="preserve"> para a</w:t>
      </w:r>
      <w:r w:rsidR="00A86069" w:rsidRPr="004D0462">
        <w:rPr>
          <w:rFonts w:cs="Arial"/>
          <w:sz w:val="22"/>
          <w:szCs w:val="22"/>
        </w:rPr>
        <w:t xml:space="preserve"> futura sede administrativa da Unidade Regional da ANTAQ em </w:t>
      </w:r>
      <w:r w:rsidR="00BE0E2A">
        <w:rPr>
          <w:rFonts w:cs="Arial"/>
          <w:sz w:val="22"/>
          <w:szCs w:val="22"/>
        </w:rPr>
        <w:t>Porto Alegre</w:t>
      </w:r>
      <w:r w:rsidR="00A86069" w:rsidRPr="004D0462">
        <w:rPr>
          <w:rFonts w:cs="Arial"/>
          <w:sz w:val="22"/>
          <w:szCs w:val="22"/>
        </w:rPr>
        <w:t xml:space="preserve"> (</w:t>
      </w:r>
      <w:r w:rsidR="00BE0E2A">
        <w:rPr>
          <w:rFonts w:cs="Arial"/>
          <w:sz w:val="22"/>
          <w:szCs w:val="22"/>
        </w:rPr>
        <w:t>UREPL</w:t>
      </w:r>
      <w:r w:rsidR="00A86069" w:rsidRPr="004D0462">
        <w:rPr>
          <w:rFonts w:cs="Arial"/>
          <w:sz w:val="22"/>
          <w:szCs w:val="22"/>
        </w:rPr>
        <w:t>).</w:t>
      </w:r>
    </w:p>
    <w:p w14:paraId="1D46616E" w14:textId="0C53A738" w:rsidR="00DD3603" w:rsidRPr="004D0462" w:rsidRDefault="00DD3603" w:rsidP="00DD3603">
      <w:pPr>
        <w:pStyle w:val="Nivel1"/>
        <w:rPr>
          <w:rFonts w:cs="Arial"/>
          <w:color w:val="auto"/>
          <w:sz w:val="22"/>
          <w:szCs w:val="22"/>
        </w:rPr>
      </w:pPr>
      <w:r w:rsidRPr="004D0462">
        <w:rPr>
          <w:rFonts w:cs="Arial"/>
          <w:color w:val="auto"/>
          <w:sz w:val="22"/>
          <w:szCs w:val="22"/>
        </w:rPr>
        <w:t>DESCRIÇÃO DA SOLUÇÃO:</w:t>
      </w:r>
    </w:p>
    <w:p w14:paraId="266BEF41" w14:textId="53B77063" w:rsidR="00EE10F4" w:rsidRDefault="00EE10F4" w:rsidP="00EE10F4">
      <w:pPr>
        <w:numPr>
          <w:ilvl w:val="1"/>
          <w:numId w:val="1"/>
        </w:numPr>
        <w:spacing w:before="120" w:after="120" w:line="276" w:lineRule="auto"/>
        <w:ind w:left="284" w:firstLine="0"/>
        <w:jc w:val="both"/>
        <w:rPr>
          <w:rFonts w:eastAsiaTheme="minorHAnsi" w:cs="Arial"/>
          <w:sz w:val="22"/>
          <w:szCs w:val="22"/>
          <w:lang w:eastAsia="en-US"/>
        </w:rPr>
      </w:pPr>
      <w:r w:rsidRPr="004D0462">
        <w:rPr>
          <w:rFonts w:eastAsiaTheme="minorHAnsi" w:cs="Arial"/>
          <w:sz w:val="22"/>
          <w:szCs w:val="22"/>
          <w:lang w:eastAsia="en-US"/>
        </w:rPr>
        <w:t>A descrição da solução como um todo, abrange a prestação do serviço de</w:t>
      </w:r>
      <w:r w:rsidRPr="004D0462">
        <w:rPr>
          <w:rFonts w:cs="Arial"/>
          <w:sz w:val="22"/>
          <w:szCs w:val="22"/>
        </w:rPr>
        <w:t xml:space="preserve"> transporte rodoviário intr</w:t>
      </w:r>
      <w:r w:rsidR="004D0462" w:rsidRPr="004D0462">
        <w:rPr>
          <w:rFonts w:cs="Arial"/>
          <w:sz w:val="22"/>
          <w:szCs w:val="22"/>
        </w:rPr>
        <w:t>a</w:t>
      </w:r>
      <w:r w:rsidRPr="004D0462">
        <w:rPr>
          <w:rFonts w:cs="Arial"/>
          <w:sz w:val="22"/>
          <w:szCs w:val="22"/>
        </w:rPr>
        <w:t>municipal de mobiliários, cargas e volumes em geral</w:t>
      </w:r>
      <w:r w:rsidR="004D0462" w:rsidRPr="004D0462">
        <w:rPr>
          <w:rFonts w:cs="Arial"/>
          <w:sz w:val="22"/>
          <w:szCs w:val="22"/>
        </w:rPr>
        <w:t>,</w:t>
      </w:r>
      <w:r w:rsidRPr="004D0462">
        <w:rPr>
          <w:rFonts w:cs="Arial"/>
          <w:sz w:val="22"/>
          <w:szCs w:val="22"/>
        </w:rPr>
        <w:t xml:space="preserve"> de propriedade da ANTAQ, localizados </w:t>
      </w:r>
      <w:r w:rsidR="004D0462" w:rsidRPr="004D0462">
        <w:rPr>
          <w:rFonts w:cs="Arial"/>
          <w:sz w:val="22"/>
          <w:szCs w:val="22"/>
        </w:rPr>
        <w:t xml:space="preserve">na Unidade Regional de </w:t>
      </w:r>
      <w:r w:rsidR="00BE0E2A">
        <w:rPr>
          <w:rFonts w:cs="Arial"/>
          <w:sz w:val="22"/>
          <w:szCs w:val="22"/>
        </w:rPr>
        <w:t>Porto Alegre</w:t>
      </w:r>
      <w:r w:rsidRPr="004D0462">
        <w:rPr>
          <w:rFonts w:cs="Arial"/>
          <w:sz w:val="22"/>
          <w:szCs w:val="22"/>
        </w:rPr>
        <w:t xml:space="preserve"> – </w:t>
      </w:r>
      <w:r w:rsidR="00BE0E2A">
        <w:rPr>
          <w:rFonts w:cs="Arial"/>
          <w:sz w:val="22"/>
          <w:szCs w:val="22"/>
        </w:rPr>
        <w:t>UREPL</w:t>
      </w:r>
      <w:r w:rsidRPr="004D0462">
        <w:rPr>
          <w:rFonts w:cs="Arial"/>
          <w:sz w:val="22"/>
          <w:szCs w:val="22"/>
        </w:rPr>
        <w:t>,</w:t>
      </w:r>
      <w:r w:rsidR="004D0462" w:rsidRPr="004D0462">
        <w:rPr>
          <w:rFonts w:eastAsiaTheme="minorHAnsi" w:cs="Arial"/>
          <w:sz w:val="22"/>
          <w:szCs w:val="22"/>
          <w:lang w:eastAsia="en-US"/>
        </w:rPr>
        <w:t xml:space="preserve"> para o</w:t>
      </w:r>
      <w:r w:rsidRPr="004D0462">
        <w:rPr>
          <w:rFonts w:eastAsiaTheme="minorHAnsi" w:cs="Arial"/>
          <w:sz w:val="22"/>
          <w:szCs w:val="22"/>
          <w:lang w:eastAsia="en-US"/>
        </w:rPr>
        <w:t xml:space="preserve"> nov</w:t>
      </w:r>
      <w:r w:rsidR="004D0462" w:rsidRPr="004D0462">
        <w:rPr>
          <w:rFonts w:eastAsiaTheme="minorHAnsi" w:cs="Arial"/>
          <w:sz w:val="22"/>
          <w:szCs w:val="22"/>
          <w:lang w:eastAsia="en-US"/>
        </w:rPr>
        <w:t>o endereço</w:t>
      </w:r>
      <w:r w:rsidRPr="004D0462">
        <w:rPr>
          <w:rFonts w:eastAsiaTheme="minorHAnsi" w:cs="Arial"/>
          <w:sz w:val="22"/>
          <w:szCs w:val="22"/>
          <w:lang w:eastAsia="en-US"/>
        </w:rPr>
        <w:t>, com o fornecimento de todo o material de consumo necessário e equipamentos adequados à execução dos trabalhos.</w:t>
      </w:r>
    </w:p>
    <w:p w14:paraId="7843CBCF" w14:textId="3FAEE8D2" w:rsidR="004D0462" w:rsidRPr="004D0462" w:rsidRDefault="004D0462" w:rsidP="004D0462">
      <w:pPr>
        <w:numPr>
          <w:ilvl w:val="1"/>
          <w:numId w:val="1"/>
        </w:numPr>
        <w:spacing w:before="120" w:after="120" w:line="276" w:lineRule="auto"/>
        <w:ind w:left="284" w:firstLine="0"/>
        <w:jc w:val="both"/>
        <w:rPr>
          <w:rFonts w:eastAsiaTheme="minorHAnsi" w:cs="Arial"/>
          <w:sz w:val="22"/>
          <w:szCs w:val="22"/>
          <w:lang w:eastAsia="en-US"/>
        </w:rPr>
      </w:pPr>
      <w:r w:rsidRPr="004D0462">
        <w:rPr>
          <w:rFonts w:eastAsiaTheme="minorHAnsi" w:cs="Arial"/>
          <w:sz w:val="22"/>
          <w:szCs w:val="22"/>
          <w:lang w:eastAsia="en-US"/>
        </w:rPr>
        <w:t xml:space="preserve">Trata a contratação de serviços acessórios e complementares, que é indispensável à ANTAQ, em face de não existir profissional no quadro do órgão para exercer esta atividade. O serviço, ora solicitado, destina-se à realização de atividades sob demanda, nas áreas administrativas, </w:t>
      </w:r>
      <w:r w:rsidRPr="004D0462">
        <w:rPr>
          <w:rFonts w:eastAsiaTheme="minorHAnsi" w:cs="Arial"/>
          <w:sz w:val="22"/>
          <w:szCs w:val="22"/>
          <w:lang w:eastAsia="en-US"/>
        </w:rPr>
        <w:lastRenderedPageBreak/>
        <w:t>instrumentais e complementares aos assuntos que constituem área de competência legal da ANTAQ.</w:t>
      </w:r>
    </w:p>
    <w:p w14:paraId="6801F69C" w14:textId="77777777" w:rsidR="00241785" w:rsidRPr="000F7DB8" w:rsidRDefault="00241785" w:rsidP="00241785">
      <w:pPr>
        <w:pStyle w:val="Nivel1"/>
        <w:rPr>
          <w:rFonts w:cs="Arial"/>
          <w:color w:val="auto"/>
          <w:sz w:val="22"/>
          <w:szCs w:val="22"/>
        </w:rPr>
      </w:pPr>
      <w:r w:rsidRPr="000F7DB8">
        <w:rPr>
          <w:rFonts w:cs="Arial"/>
          <w:color w:val="auto"/>
          <w:sz w:val="22"/>
          <w:szCs w:val="22"/>
        </w:rPr>
        <w:t>DA CLASSIFICAÇÃO DOS SERVIÇOS E FORMA DE SELEÇÃO DO FORNECEDOR</w:t>
      </w:r>
    </w:p>
    <w:p w14:paraId="2E617D62" w14:textId="6046DD57" w:rsidR="0082594B" w:rsidRPr="000F7DB8" w:rsidRDefault="0082594B" w:rsidP="00927FEB">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Trata-se de serviço comum, </w:t>
      </w:r>
      <w:r w:rsidR="00BA6F63" w:rsidRPr="000F7DB8">
        <w:rPr>
          <w:rFonts w:eastAsiaTheme="minorHAnsi" w:cs="Arial"/>
          <w:sz w:val="22"/>
          <w:szCs w:val="22"/>
          <w:lang w:eastAsia="en-US"/>
        </w:rPr>
        <w:t>não continuado,</w:t>
      </w:r>
      <w:r w:rsidR="00FB4FE6" w:rsidRPr="000F7DB8">
        <w:rPr>
          <w:rFonts w:eastAsiaTheme="minorHAnsi" w:cs="Arial"/>
          <w:sz w:val="22"/>
          <w:szCs w:val="22"/>
          <w:lang w:eastAsia="en-US"/>
        </w:rPr>
        <w:t xml:space="preserve"> nos termos do parágrafo único, do art. 1º, da Lei 10.520/2002, c/c art. 3º, II do Decreto 10.024/2019,</w:t>
      </w:r>
      <w:r w:rsidR="00875A25" w:rsidRPr="000F7DB8">
        <w:rPr>
          <w:rFonts w:eastAsiaTheme="minorHAnsi" w:cs="Arial"/>
          <w:sz w:val="22"/>
          <w:szCs w:val="22"/>
          <w:lang w:eastAsia="en-US"/>
        </w:rPr>
        <w:t xml:space="preserve"> </w:t>
      </w:r>
      <w:r w:rsidRPr="000F7DB8">
        <w:rPr>
          <w:rFonts w:eastAsiaTheme="minorHAnsi" w:cs="Arial"/>
          <w:sz w:val="22"/>
          <w:szCs w:val="22"/>
          <w:lang w:eastAsia="en-US"/>
        </w:rPr>
        <w:t xml:space="preserve">a ser contratado mediante </w:t>
      </w:r>
      <w:r w:rsidR="00927FEB" w:rsidRPr="000F7DB8">
        <w:rPr>
          <w:rFonts w:eastAsiaTheme="minorHAnsi" w:cs="Arial"/>
          <w:sz w:val="22"/>
          <w:szCs w:val="22"/>
          <w:lang w:eastAsia="en-US"/>
        </w:rPr>
        <w:t>dispensa de licitação</w:t>
      </w:r>
      <w:r w:rsidRPr="000F7DB8">
        <w:rPr>
          <w:rFonts w:eastAsiaTheme="minorHAnsi" w:cs="Arial"/>
          <w:sz w:val="22"/>
          <w:szCs w:val="22"/>
          <w:lang w:eastAsia="en-US"/>
        </w:rPr>
        <w:t>.</w:t>
      </w:r>
    </w:p>
    <w:p w14:paraId="79596512" w14:textId="13CA20E2" w:rsidR="00DB206B" w:rsidRPr="000F7DB8" w:rsidRDefault="00DB206B" w:rsidP="00FB4FE6">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Os serviços a serem contratados enquadram-se nos pressupostos do Decreto n° </w:t>
      </w:r>
      <w:r w:rsidR="00563005" w:rsidRPr="000F7DB8">
        <w:rPr>
          <w:rFonts w:eastAsiaTheme="minorHAnsi" w:cs="Arial"/>
          <w:sz w:val="22"/>
          <w:szCs w:val="22"/>
          <w:lang w:eastAsia="en-US"/>
        </w:rPr>
        <w:t>9.507</w:t>
      </w:r>
      <w:r w:rsidRPr="000F7DB8">
        <w:rPr>
          <w:rFonts w:eastAsiaTheme="minorHAnsi" w:cs="Arial"/>
          <w:sz w:val="22"/>
          <w:szCs w:val="22"/>
          <w:lang w:eastAsia="en-US"/>
        </w:rPr>
        <w:t xml:space="preserve">, de </w:t>
      </w:r>
      <w:r w:rsidR="00563005" w:rsidRPr="000F7DB8">
        <w:rPr>
          <w:rFonts w:eastAsiaTheme="minorHAnsi" w:cs="Arial"/>
          <w:sz w:val="22"/>
          <w:szCs w:val="22"/>
          <w:lang w:eastAsia="en-US"/>
        </w:rPr>
        <w:t>21 de setembro de 2018</w:t>
      </w:r>
      <w:r w:rsidRPr="000F7DB8">
        <w:rPr>
          <w:rFonts w:eastAsiaTheme="minorHAnsi" w:cs="Arial"/>
          <w:sz w:val="22"/>
          <w:szCs w:val="22"/>
          <w:lang w:eastAsia="en-US"/>
        </w:rPr>
        <w:t xml:space="preserve">, </w:t>
      </w:r>
      <w:r w:rsidR="00563005" w:rsidRPr="000F7DB8">
        <w:rPr>
          <w:rFonts w:eastAsiaTheme="minorHAnsi" w:cs="Arial"/>
          <w:sz w:val="22"/>
          <w:szCs w:val="22"/>
          <w:lang w:eastAsia="en-US"/>
        </w:rPr>
        <w:t>não se constituindo em quaisquer das atividades, previstas no art. 3º do aludido decreto, cuja execução indireta é vedada</w:t>
      </w:r>
      <w:r w:rsidRPr="000F7DB8">
        <w:rPr>
          <w:rFonts w:eastAsiaTheme="minorHAnsi" w:cs="Arial"/>
          <w:sz w:val="22"/>
          <w:szCs w:val="22"/>
          <w:lang w:eastAsia="en-US"/>
        </w:rPr>
        <w:t>.</w:t>
      </w:r>
    </w:p>
    <w:p w14:paraId="7587653D" w14:textId="77777777" w:rsidR="00DB206B" w:rsidRPr="000F7DB8" w:rsidRDefault="00DB206B" w:rsidP="00FB4FE6">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A prestação dos serviços não gera vínculo empregatício entre os empregados da </w:t>
      </w:r>
      <w:r w:rsidR="00D52359" w:rsidRPr="000F7DB8">
        <w:rPr>
          <w:rFonts w:eastAsiaTheme="minorHAnsi" w:cs="Arial"/>
          <w:sz w:val="22"/>
          <w:szCs w:val="22"/>
          <w:lang w:eastAsia="en-US"/>
        </w:rPr>
        <w:t>Contratada</w:t>
      </w:r>
      <w:r w:rsidRPr="000F7DB8">
        <w:rPr>
          <w:rFonts w:eastAsiaTheme="minorHAnsi" w:cs="Arial"/>
          <w:sz w:val="22"/>
          <w:szCs w:val="22"/>
          <w:lang w:eastAsia="en-US"/>
        </w:rPr>
        <w:t xml:space="preserve"> e a Administração</w:t>
      </w:r>
      <w:r w:rsidR="00940AD0" w:rsidRPr="000F7DB8">
        <w:rPr>
          <w:rFonts w:eastAsiaTheme="minorHAnsi" w:cs="Arial"/>
          <w:sz w:val="22"/>
          <w:szCs w:val="22"/>
          <w:lang w:eastAsia="en-US"/>
        </w:rPr>
        <w:t xml:space="preserve"> Contratante</w:t>
      </w:r>
      <w:r w:rsidRPr="000F7DB8">
        <w:rPr>
          <w:rFonts w:eastAsiaTheme="minorHAnsi" w:cs="Arial"/>
          <w:sz w:val="22"/>
          <w:szCs w:val="22"/>
          <w:lang w:eastAsia="en-US"/>
        </w:rPr>
        <w:t>, vedando-se qualquer relação entre estes que caracterize pessoalidade e subordinação direta.</w:t>
      </w:r>
    </w:p>
    <w:p w14:paraId="3E710D65" w14:textId="77777777" w:rsidR="0082594B" w:rsidRPr="000F7DB8" w:rsidRDefault="0082594B" w:rsidP="0082594B">
      <w:pPr>
        <w:pStyle w:val="Nivel1"/>
        <w:rPr>
          <w:rFonts w:cs="Arial"/>
          <w:color w:val="auto"/>
          <w:sz w:val="22"/>
          <w:szCs w:val="22"/>
        </w:rPr>
      </w:pPr>
      <w:r w:rsidRPr="000F7DB8">
        <w:rPr>
          <w:rFonts w:cs="Arial"/>
          <w:color w:val="auto"/>
          <w:sz w:val="22"/>
          <w:szCs w:val="22"/>
        </w:rPr>
        <w:t>REQUISITOS DA CONTRATAÇÃO</w:t>
      </w:r>
    </w:p>
    <w:p w14:paraId="121BB9F4" w14:textId="67D62D69" w:rsidR="0082594B" w:rsidRPr="000F7DB8" w:rsidRDefault="00A50CE8" w:rsidP="00231A13">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O</w:t>
      </w:r>
      <w:r w:rsidR="0082594B" w:rsidRPr="000F7DB8">
        <w:rPr>
          <w:rFonts w:eastAsiaTheme="minorHAnsi" w:cs="Arial"/>
          <w:sz w:val="22"/>
          <w:szCs w:val="22"/>
          <w:lang w:eastAsia="en-US"/>
        </w:rPr>
        <w:t>s requisitos da contratação abrangem o seguinte:</w:t>
      </w:r>
    </w:p>
    <w:p w14:paraId="6E7055D9" w14:textId="28DCD3A6" w:rsidR="00231A13" w:rsidRPr="000F7DB8" w:rsidRDefault="00231A13" w:rsidP="009947E7">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Os profissionais a serem alocados nas atividades deverão possuir a formação exigida pelos sindicatos da categoria e legislação vigente aplicável.</w:t>
      </w:r>
    </w:p>
    <w:p w14:paraId="1C3CDC3E" w14:textId="0EDDCF8F" w:rsidR="00231A13" w:rsidRPr="000F7DB8" w:rsidRDefault="00231A13" w:rsidP="009947E7">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Adotar os seguintes critérios e práticas de sustentabilidade:</w:t>
      </w:r>
    </w:p>
    <w:p w14:paraId="65F7AE3A" w14:textId="77777777" w:rsidR="00231A13" w:rsidRPr="000F7DB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 xml:space="preserve">Utilizar materiais biodegradáveis; </w:t>
      </w:r>
    </w:p>
    <w:p w14:paraId="74828D34" w14:textId="1EEC2FEF" w:rsidR="00231A13" w:rsidRPr="000F7DB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 xml:space="preserve">Os empregados da CONTRATADA devem ser orientados a realizar a separação consciente do lixo, para reciclagem. </w:t>
      </w:r>
    </w:p>
    <w:p w14:paraId="4F6FF568" w14:textId="77777777" w:rsidR="00231A13" w:rsidRPr="000F7DB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 xml:space="preserve">Racionalização/economia no consumo de energia (especialmente elétrica) e água; </w:t>
      </w:r>
    </w:p>
    <w:p w14:paraId="7FCF4904" w14:textId="5E7FD965" w:rsidR="00231A13" w:rsidRPr="000F7DB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 xml:space="preserve">Seguir as normas técnicas de saúde, higiene e de segurança do trabalho, </w:t>
      </w:r>
      <w:r w:rsidR="009947E7" w:rsidRPr="000F7DB8">
        <w:rPr>
          <w:rFonts w:eastAsiaTheme="minorHAnsi" w:cs="Arial"/>
          <w:sz w:val="22"/>
          <w:szCs w:val="22"/>
          <w:lang w:eastAsia="en-US"/>
        </w:rPr>
        <w:t>de acordo com as normas do M</w:t>
      </w:r>
      <w:r w:rsidR="008A04D0" w:rsidRPr="000F7DB8">
        <w:rPr>
          <w:rFonts w:eastAsiaTheme="minorHAnsi" w:cs="Arial"/>
          <w:sz w:val="22"/>
          <w:szCs w:val="22"/>
          <w:lang w:eastAsia="en-US"/>
        </w:rPr>
        <w:t>TE</w:t>
      </w:r>
      <w:r w:rsidR="009947E7" w:rsidRPr="000F7DB8">
        <w:rPr>
          <w:rFonts w:eastAsiaTheme="minorHAnsi" w:cs="Arial"/>
          <w:sz w:val="22"/>
          <w:szCs w:val="22"/>
          <w:lang w:eastAsia="en-US"/>
        </w:rPr>
        <w:t>.</w:t>
      </w:r>
    </w:p>
    <w:p w14:paraId="048BB52D" w14:textId="0AFFD3D0" w:rsidR="008A04D0" w:rsidRPr="000F7DB8"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Atender às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7EB22EC6" w14:textId="77777777" w:rsidR="008A04D0" w:rsidRPr="000F7DB8"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Utilizar, quando possível, no momento da embalagem dos bens invólucros biodegradáveis ou com madeira de reflorestamento, devidamente certificada.</w:t>
      </w:r>
    </w:p>
    <w:p w14:paraId="5C780CB0" w14:textId="01A02884" w:rsidR="008A04D0" w:rsidRPr="000F7DB8"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Utilizar veículo, quando possível, que não utilize combustível fóssil.</w:t>
      </w:r>
    </w:p>
    <w:p w14:paraId="77EEE398" w14:textId="77777777" w:rsidR="0082594B" w:rsidRPr="000F7DB8" w:rsidRDefault="0082594B"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Declaração do licitante de que tem pleno conhecimento das condições necessárias para a prestação do serviço.</w:t>
      </w:r>
    </w:p>
    <w:p w14:paraId="28526F13" w14:textId="5233B31E" w:rsidR="0082594B" w:rsidRPr="000F7DB8" w:rsidRDefault="0082594B"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As obrigações da Contratada e Contrat</w:t>
      </w:r>
      <w:r w:rsidR="000F7DB8" w:rsidRPr="000F7DB8">
        <w:rPr>
          <w:rFonts w:eastAsiaTheme="minorHAnsi" w:cs="Arial"/>
          <w:sz w:val="22"/>
          <w:szCs w:val="22"/>
          <w:lang w:eastAsia="en-US"/>
        </w:rPr>
        <w:t>ante estão previstas neste TR.</w:t>
      </w:r>
    </w:p>
    <w:p w14:paraId="55DA9180" w14:textId="0AF8F3FD" w:rsidR="0082594B" w:rsidRPr="000F7DB8" w:rsidRDefault="003D389C" w:rsidP="000D390A">
      <w:pPr>
        <w:pStyle w:val="Nivel1"/>
        <w:rPr>
          <w:rFonts w:cs="Arial"/>
          <w:color w:val="auto"/>
          <w:sz w:val="22"/>
          <w:szCs w:val="22"/>
        </w:rPr>
      </w:pPr>
      <w:r w:rsidRPr="000F7DB8">
        <w:rPr>
          <w:rFonts w:cs="Arial"/>
          <w:color w:val="auto"/>
          <w:sz w:val="22"/>
          <w:szCs w:val="22"/>
        </w:rPr>
        <w:t>VISTORIA PARA A LICITAÇÃO</w:t>
      </w:r>
    </w:p>
    <w:p w14:paraId="24FEC929" w14:textId="489298C4" w:rsidR="009947E7" w:rsidRPr="000F7DB8"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Para o correto dimensionamento e elaboração de sua proposta, o licitante poderá realizar vistoria nas instalações </w:t>
      </w:r>
      <w:r w:rsidR="009947E7" w:rsidRPr="000F7DB8">
        <w:rPr>
          <w:rFonts w:eastAsiaTheme="minorHAnsi" w:cs="Arial"/>
          <w:sz w:val="22"/>
          <w:szCs w:val="22"/>
          <w:lang w:eastAsia="en-US"/>
        </w:rPr>
        <w:t>no local onde estão armazenados a bagagem/mobília</w:t>
      </w:r>
      <w:r w:rsidRPr="000F7DB8">
        <w:rPr>
          <w:rFonts w:eastAsiaTheme="minorHAnsi" w:cs="Arial"/>
          <w:sz w:val="22"/>
          <w:szCs w:val="22"/>
          <w:lang w:eastAsia="en-US"/>
        </w:rPr>
        <w:t xml:space="preserve">, acompanhado por servidor designado para esse fim, </w:t>
      </w:r>
      <w:r w:rsidRPr="00A137D5">
        <w:rPr>
          <w:rFonts w:eastAsiaTheme="minorHAnsi" w:cs="Arial"/>
          <w:sz w:val="22"/>
          <w:szCs w:val="22"/>
          <w:lang w:eastAsia="en-US"/>
        </w:rPr>
        <w:t>de segunda à sexta-feira, das</w:t>
      </w:r>
      <w:r w:rsidR="009947E7" w:rsidRPr="00A137D5">
        <w:rPr>
          <w:rFonts w:eastAsiaTheme="minorHAnsi" w:cs="Arial"/>
          <w:sz w:val="22"/>
          <w:szCs w:val="22"/>
          <w:lang w:eastAsia="en-US"/>
        </w:rPr>
        <w:t xml:space="preserve"> 09:00 horas às 16:30 horas, devendo o agendamento ser efetuado previamente pelo</w:t>
      </w:r>
      <w:r w:rsidR="00753188">
        <w:rPr>
          <w:rFonts w:eastAsiaTheme="minorHAnsi" w:cs="Arial"/>
          <w:sz w:val="22"/>
          <w:szCs w:val="22"/>
          <w:lang w:eastAsia="en-US"/>
        </w:rPr>
        <w:t>s</w:t>
      </w:r>
      <w:r w:rsidR="009947E7" w:rsidRPr="00A137D5">
        <w:rPr>
          <w:rFonts w:eastAsiaTheme="minorHAnsi" w:cs="Arial"/>
          <w:sz w:val="22"/>
          <w:szCs w:val="22"/>
          <w:lang w:eastAsia="en-US"/>
        </w:rPr>
        <w:t xml:space="preserve"> telefone</w:t>
      </w:r>
      <w:r w:rsidR="00753188">
        <w:rPr>
          <w:rFonts w:eastAsiaTheme="minorHAnsi" w:cs="Arial"/>
          <w:sz w:val="22"/>
          <w:szCs w:val="22"/>
          <w:lang w:eastAsia="en-US"/>
        </w:rPr>
        <w:t>s (</w:t>
      </w:r>
      <w:r w:rsidR="00753188" w:rsidRPr="00753188">
        <w:rPr>
          <w:rFonts w:eastAsiaTheme="minorHAnsi" w:cs="Arial"/>
          <w:sz w:val="22"/>
          <w:szCs w:val="22"/>
          <w:lang w:eastAsia="en-US"/>
        </w:rPr>
        <w:t>51</w:t>
      </w:r>
      <w:r w:rsidR="00753188">
        <w:rPr>
          <w:rFonts w:eastAsiaTheme="minorHAnsi" w:cs="Arial"/>
          <w:sz w:val="22"/>
          <w:szCs w:val="22"/>
          <w:lang w:eastAsia="en-US"/>
        </w:rPr>
        <w:t>) 2117-</w:t>
      </w:r>
      <w:r w:rsidR="00753188" w:rsidRPr="00753188">
        <w:rPr>
          <w:rFonts w:eastAsiaTheme="minorHAnsi" w:cs="Arial"/>
          <w:sz w:val="22"/>
          <w:szCs w:val="22"/>
          <w:lang w:eastAsia="en-US"/>
        </w:rPr>
        <w:t xml:space="preserve">8450 ou </w:t>
      </w:r>
      <w:r w:rsidR="00753188">
        <w:rPr>
          <w:rFonts w:eastAsiaTheme="minorHAnsi" w:cs="Arial"/>
          <w:sz w:val="22"/>
          <w:szCs w:val="22"/>
          <w:lang w:eastAsia="en-US"/>
        </w:rPr>
        <w:t>(51) 2117-</w:t>
      </w:r>
      <w:r w:rsidR="00753188" w:rsidRPr="00753188">
        <w:rPr>
          <w:rFonts w:eastAsiaTheme="minorHAnsi" w:cs="Arial"/>
          <w:sz w:val="22"/>
          <w:szCs w:val="22"/>
          <w:lang w:eastAsia="en-US"/>
        </w:rPr>
        <w:t>8458</w:t>
      </w:r>
      <w:r w:rsidR="009947E7" w:rsidRPr="00A137D5">
        <w:rPr>
          <w:rFonts w:eastAsiaTheme="minorHAnsi" w:cs="Arial"/>
          <w:sz w:val="22"/>
          <w:szCs w:val="22"/>
          <w:lang w:eastAsia="en-US"/>
        </w:rPr>
        <w:t>,</w:t>
      </w:r>
      <w:r w:rsidR="009947E7" w:rsidRPr="000F7DB8">
        <w:rPr>
          <w:rFonts w:eastAsiaTheme="minorHAnsi" w:cs="Arial"/>
          <w:sz w:val="22"/>
          <w:szCs w:val="22"/>
          <w:lang w:eastAsia="en-US"/>
        </w:rPr>
        <w:t xml:space="preserve"> podendo sua realização ser comprovada por:</w:t>
      </w:r>
    </w:p>
    <w:p w14:paraId="5D77DF64" w14:textId="77777777" w:rsidR="009947E7" w:rsidRPr="000F7DB8" w:rsidRDefault="009947E7" w:rsidP="009947E7">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Atestado de vistoria assinado pelo servidor responsável, conforme item 3.3 do Anexo VII-A da IN SEGES/MP n. 5/2017;</w:t>
      </w:r>
    </w:p>
    <w:p w14:paraId="5AC1F3B1" w14:textId="77777777" w:rsidR="009947E7" w:rsidRPr="000F7DB8" w:rsidRDefault="009947E7" w:rsidP="009947E7">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Para a vistoria, o licitante, ou o seu representante, deverá estar devidamente identificado.</w:t>
      </w:r>
    </w:p>
    <w:p w14:paraId="002F3443" w14:textId="05C23C2A" w:rsidR="003D389C" w:rsidRPr="000F7DB8"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1E5AD04E" w14:textId="77777777" w:rsidR="003D389C" w:rsidRPr="000F7DB8"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275A0D67" w14:textId="365A8B54" w:rsidR="003D389C" w:rsidRPr="000F7DB8"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A licitante deverá declarar que tomou conhecimento de todas as informações e das condições locais para o cumprimento das obrigações objeto da licitação.</w:t>
      </w:r>
    </w:p>
    <w:p w14:paraId="00F4A7AE" w14:textId="77777777" w:rsidR="007B7E1C" w:rsidRPr="000F7DB8" w:rsidRDefault="007B7E1C" w:rsidP="007B7E1C">
      <w:pPr>
        <w:pStyle w:val="Nivel1"/>
        <w:rPr>
          <w:rFonts w:cs="Arial"/>
          <w:color w:val="auto"/>
          <w:sz w:val="22"/>
          <w:szCs w:val="22"/>
        </w:rPr>
      </w:pPr>
      <w:r w:rsidRPr="000F7DB8">
        <w:rPr>
          <w:rFonts w:cs="Arial"/>
          <w:color w:val="auto"/>
          <w:sz w:val="22"/>
          <w:szCs w:val="22"/>
        </w:rPr>
        <w:t>MODELO DE EXECUÇÃO DO OBJETO</w:t>
      </w:r>
    </w:p>
    <w:p w14:paraId="2906D21E" w14:textId="77777777" w:rsidR="0069402F" w:rsidRPr="000F7DB8" w:rsidRDefault="0069402F" w:rsidP="0069402F">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Os serviços serão executados conforme discriminado abaixo:</w:t>
      </w:r>
    </w:p>
    <w:p w14:paraId="126EB3A4" w14:textId="742B2465"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 xml:space="preserve">Executar os serviços de transporte de mobiliários dentro da própria cidade de </w:t>
      </w:r>
      <w:r w:rsidR="00BE0E2A">
        <w:rPr>
          <w:rFonts w:eastAsiaTheme="minorHAnsi" w:cs="Arial"/>
          <w:sz w:val="22"/>
          <w:szCs w:val="22"/>
          <w:lang w:eastAsia="en-US"/>
        </w:rPr>
        <w:t>Porto Alegre</w:t>
      </w:r>
      <w:r w:rsidR="000F7DB8" w:rsidRPr="000F7DB8">
        <w:rPr>
          <w:rFonts w:eastAsiaTheme="minorHAnsi" w:cs="Arial"/>
          <w:sz w:val="22"/>
          <w:szCs w:val="22"/>
          <w:lang w:eastAsia="en-US"/>
        </w:rPr>
        <w:t>/</w:t>
      </w:r>
      <w:r w:rsidR="00535A09">
        <w:rPr>
          <w:rFonts w:eastAsiaTheme="minorHAnsi" w:cs="Arial"/>
          <w:sz w:val="22"/>
          <w:szCs w:val="22"/>
          <w:lang w:eastAsia="en-US"/>
        </w:rPr>
        <w:t>RS</w:t>
      </w:r>
      <w:r w:rsidRPr="000F7DB8">
        <w:rPr>
          <w:rFonts w:eastAsiaTheme="minorHAnsi" w:cs="Arial"/>
          <w:sz w:val="22"/>
          <w:szCs w:val="22"/>
          <w:lang w:eastAsia="en-US"/>
        </w:rPr>
        <w:t xml:space="preserve">, com deslocamento na mudança de origem e destinos com </w:t>
      </w:r>
      <w:r w:rsidR="005878FA" w:rsidRPr="005878FA">
        <w:rPr>
          <w:rFonts w:eastAsiaTheme="minorHAnsi" w:cs="Arial"/>
          <w:sz w:val="22"/>
          <w:szCs w:val="22"/>
          <w:lang w:eastAsia="en-US"/>
        </w:rPr>
        <w:t xml:space="preserve">distância total aproximada </w:t>
      </w:r>
      <w:r w:rsidR="005878FA" w:rsidRPr="00236B0F">
        <w:rPr>
          <w:rFonts w:eastAsiaTheme="minorHAnsi" w:cs="Arial"/>
          <w:sz w:val="22"/>
          <w:szCs w:val="22"/>
          <w:lang w:eastAsia="en-US"/>
        </w:rPr>
        <w:t xml:space="preserve">de </w:t>
      </w:r>
      <w:r w:rsidR="00236B0F" w:rsidRPr="00236B0F">
        <w:rPr>
          <w:rFonts w:eastAsiaTheme="minorHAnsi" w:cs="Arial"/>
          <w:sz w:val="22"/>
          <w:szCs w:val="22"/>
          <w:lang w:eastAsia="en-US"/>
        </w:rPr>
        <w:t>1,5 k</w:t>
      </w:r>
      <w:r w:rsidRPr="00236B0F">
        <w:rPr>
          <w:rFonts w:eastAsiaTheme="minorHAnsi" w:cs="Arial"/>
          <w:sz w:val="22"/>
          <w:szCs w:val="22"/>
          <w:lang w:eastAsia="en-US"/>
        </w:rPr>
        <w:t>m</w:t>
      </w:r>
      <w:r w:rsidRPr="005878FA">
        <w:rPr>
          <w:rFonts w:eastAsiaTheme="minorHAnsi" w:cs="Arial"/>
          <w:sz w:val="22"/>
          <w:szCs w:val="22"/>
          <w:lang w:eastAsia="en-US"/>
        </w:rPr>
        <w:t>.</w:t>
      </w:r>
    </w:p>
    <w:p w14:paraId="177DE799" w14:textId="78F70D5D"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 xml:space="preserve">Serão transportadas cargas e volumes em geral, do mobiliário (bens móveis) da Unidade Regional de </w:t>
      </w:r>
      <w:r w:rsidR="00BE0E2A">
        <w:rPr>
          <w:rFonts w:eastAsiaTheme="minorHAnsi" w:cs="Arial"/>
          <w:sz w:val="22"/>
          <w:szCs w:val="22"/>
          <w:lang w:eastAsia="en-US"/>
        </w:rPr>
        <w:t>Porto Alegre</w:t>
      </w:r>
      <w:r w:rsidRPr="000F7DB8">
        <w:rPr>
          <w:rFonts w:eastAsiaTheme="minorHAnsi" w:cs="Arial"/>
          <w:sz w:val="22"/>
          <w:szCs w:val="22"/>
          <w:lang w:eastAsia="en-US"/>
        </w:rPr>
        <w:t>, mediante Nota de Empenho ou outro documento da ANTAQ, não sendo admitidas quaisquer alterações sem prévio conhecimento e aprovação desta Agência.</w:t>
      </w:r>
    </w:p>
    <w:p w14:paraId="05B79302" w14:textId="03EE1056"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Os serviços compreendem a desmontagem, embalagem e retirada do local de origem, descarga dos mobiliários, cargas e volumes em geral de propriedade da ANTAQ/</w:t>
      </w:r>
      <w:r w:rsidR="00BE0E2A">
        <w:rPr>
          <w:rFonts w:eastAsiaTheme="minorHAnsi" w:cs="Arial"/>
          <w:sz w:val="22"/>
          <w:szCs w:val="22"/>
          <w:lang w:eastAsia="en-US"/>
        </w:rPr>
        <w:t>Porto Alegre</w:t>
      </w:r>
      <w:r w:rsidRPr="000F7DB8">
        <w:rPr>
          <w:rFonts w:eastAsiaTheme="minorHAnsi" w:cs="Arial"/>
          <w:sz w:val="22"/>
          <w:szCs w:val="22"/>
          <w:lang w:eastAsia="en-US"/>
        </w:rPr>
        <w:t>, como também a montagem dos mesmos nos locais indicados, bem como todas as operações que se fizerem necessárias;</w:t>
      </w:r>
    </w:p>
    <w:p w14:paraId="6A606548" w14:textId="77777777" w:rsidR="00A562C5" w:rsidRPr="000F7DB8" w:rsidRDefault="00A562C5" w:rsidP="00A562C5">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Os serviços deverão ser executados com base nos parâmetros mínimos a seguir estabelecidos:</w:t>
      </w:r>
    </w:p>
    <w:p w14:paraId="0F1A693B" w14:textId="58C83458"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Retirada de toda mobília e pertenças na origem, conforme lista (item 7.4), incluindo desmontagem;</w:t>
      </w:r>
    </w:p>
    <w:p w14:paraId="0343A965" w14:textId="51B7E53E"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Entrega da mobília e pertenças no destino, conforme lista (item 7.4), incluindo montagem.</w:t>
      </w:r>
    </w:p>
    <w:p w14:paraId="55C63A91" w14:textId="075B7B25"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Entrega de toda a mobília no endereço de destino, sem avarias;</w:t>
      </w:r>
    </w:p>
    <w:p w14:paraId="30C1B355" w14:textId="3D8FCC0F"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Entrega de toda a mobília no endereço de destino, no prazo contratado.</w:t>
      </w:r>
    </w:p>
    <w:p w14:paraId="3516559E" w14:textId="02677579" w:rsidR="0069402F" w:rsidRPr="000F7DB8" w:rsidRDefault="0069402F" w:rsidP="0069402F">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A execução dos serviços será realizada </w:t>
      </w:r>
      <w:r w:rsidR="00415BC2">
        <w:rPr>
          <w:rFonts w:eastAsiaTheme="minorHAnsi" w:cs="Arial"/>
          <w:sz w:val="22"/>
          <w:szCs w:val="22"/>
          <w:lang w:eastAsia="en-US"/>
        </w:rPr>
        <w:t>a partir do</w:t>
      </w:r>
      <w:r w:rsidRPr="00840B22">
        <w:rPr>
          <w:rFonts w:eastAsiaTheme="minorHAnsi" w:cs="Arial"/>
          <w:sz w:val="22"/>
          <w:szCs w:val="22"/>
          <w:lang w:eastAsia="en-US"/>
        </w:rPr>
        <w:t xml:space="preserve"> dia </w:t>
      </w:r>
      <w:r w:rsidR="00236B0F" w:rsidRPr="00840B22">
        <w:rPr>
          <w:rFonts w:eastAsiaTheme="minorHAnsi" w:cs="Arial"/>
          <w:sz w:val="22"/>
          <w:szCs w:val="22"/>
          <w:lang w:eastAsia="en-US"/>
        </w:rPr>
        <w:t>22</w:t>
      </w:r>
      <w:r w:rsidRPr="00840B22">
        <w:rPr>
          <w:rFonts w:eastAsiaTheme="minorHAnsi" w:cs="Arial"/>
          <w:sz w:val="22"/>
          <w:szCs w:val="22"/>
          <w:lang w:eastAsia="en-US"/>
        </w:rPr>
        <w:t>/</w:t>
      </w:r>
      <w:r w:rsidR="001D279B" w:rsidRPr="00840B22">
        <w:rPr>
          <w:rFonts w:eastAsiaTheme="minorHAnsi" w:cs="Arial"/>
          <w:sz w:val="22"/>
          <w:szCs w:val="22"/>
          <w:lang w:eastAsia="en-US"/>
        </w:rPr>
        <w:t>1</w:t>
      </w:r>
      <w:r w:rsidR="00236B0F" w:rsidRPr="00840B22">
        <w:rPr>
          <w:rFonts w:eastAsiaTheme="minorHAnsi" w:cs="Arial"/>
          <w:sz w:val="22"/>
          <w:szCs w:val="22"/>
          <w:lang w:eastAsia="en-US"/>
        </w:rPr>
        <w:t>2</w:t>
      </w:r>
      <w:r w:rsidRPr="00840B22">
        <w:rPr>
          <w:rFonts w:eastAsiaTheme="minorHAnsi" w:cs="Arial"/>
          <w:sz w:val="22"/>
          <w:szCs w:val="22"/>
          <w:lang w:eastAsia="en-US"/>
        </w:rPr>
        <w:t>/2020</w:t>
      </w:r>
      <w:r w:rsidRPr="000F7DB8">
        <w:rPr>
          <w:rFonts w:eastAsiaTheme="minorHAnsi" w:cs="Arial"/>
          <w:sz w:val="22"/>
          <w:szCs w:val="22"/>
          <w:lang w:eastAsia="en-US"/>
        </w:rPr>
        <w:t>,</w:t>
      </w:r>
      <w:r w:rsidR="00415BC2">
        <w:rPr>
          <w:rFonts w:eastAsiaTheme="minorHAnsi" w:cs="Arial"/>
          <w:sz w:val="22"/>
          <w:szCs w:val="22"/>
          <w:lang w:eastAsia="en-US"/>
        </w:rPr>
        <w:t xml:space="preserve"> após comunicado pela contratante com até 48 horas de antecedência, e</w:t>
      </w:r>
      <w:r w:rsidRPr="000F7DB8">
        <w:rPr>
          <w:rFonts w:eastAsiaTheme="minorHAnsi" w:cs="Arial"/>
          <w:sz w:val="22"/>
          <w:szCs w:val="22"/>
          <w:lang w:eastAsia="en-US"/>
        </w:rPr>
        <w:t xml:space="preserve"> após recebimento da nota de empenho emitida pela ANTAQ, na forma que segue:</w:t>
      </w:r>
    </w:p>
    <w:p w14:paraId="34DF5E6C" w14:textId="379DC156"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Será encaminhada nota de empenho à empresa contratada contendo as informações do local de origem e destinos, descrição e quantitativo de bagagem/mobília, prazo para execução da mudança, contatos com o representante da ANTAQ.</w:t>
      </w:r>
    </w:p>
    <w:p w14:paraId="78362EC5" w14:textId="3DD2F9CA"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 xml:space="preserve">O prazo para a conclusão do serviço de mudança será de até </w:t>
      </w:r>
      <w:r w:rsidR="000F7DB8" w:rsidRPr="000F7DB8">
        <w:rPr>
          <w:rFonts w:eastAsiaTheme="minorHAnsi" w:cs="Arial"/>
          <w:sz w:val="22"/>
          <w:szCs w:val="22"/>
          <w:lang w:eastAsia="en-US"/>
        </w:rPr>
        <w:t>5</w:t>
      </w:r>
      <w:r w:rsidRPr="000F7DB8">
        <w:rPr>
          <w:rFonts w:eastAsiaTheme="minorHAnsi" w:cs="Arial"/>
          <w:sz w:val="22"/>
          <w:szCs w:val="22"/>
          <w:lang w:eastAsia="en-US"/>
        </w:rPr>
        <w:t xml:space="preserve"> dias a partir</w:t>
      </w:r>
      <w:r w:rsidR="00415BC2">
        <w:rPr>
          <w:rFonts w:eastAsiaTheme="minorHAnsi" w:cs="Arial"/>
          <w:sz w:val="22"/>
          <w:szCs w:val="22"/>
          <w:lang w:eastAsia="en-US"/>
        </w:rPr>
        <w:t xml:space="preserve"> da data informada pela contratante, desde que já </w:t>
      </w:r>
      <w:r w:rsidRPr="000F7DB8">
        <w:rPr>
          <w:rFonts w:eastAsiaTheme="minorHAnsi" w:cs="Arial"/>
          <w:sz w:val="22"/>
          <w:szCs w:val="22"/>
          <w:lang w:eastAsia="en-US"/>
        </w:rPr>
        <w:t>emi</w:t>
      </w:r>
      <w:r w:rsidR="00415BC2">
        <w:rPr>
          <w:rFonts w:eastAsiaTheme="minorHAnsi" w:cs="Arial"/>
          <w:sz w:val="22"/>
          <w:szCs w:val="22"/>
          <w:lang w:eastAsia="en-US"/>
        </w:rPr>
        <w:t xml:space="preserve">tida </w:t>
      </w:r>
      <w:r w:rsidRPr="000F7DB8">
        <w:rPr>
          <w:rFonts w:eastAsiaTheme="minorHAnsi" w:cs="Arial"/>
          <w:sz w:val="22"/>
          <w:szCs w:val="22"/>
          <w:lang w:eastAsia="en-US"/>
        </w:rPr>
        <w:t>a nota de empenho por parte da ANTAQ.</w:t>
      </w:r>
    </w:p>
    <w:p w14:paraId="258B3625" w14:textId="739DB53D"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 xml:space="preserve">Os bens e pertenças devem ser recolhidos no endereço especificado como origem (item 7.4) na data prevista do </w:t>
      </w:r>
      <w:r w:rsidRPr="00840B22">
        <w:rPr>
          <w:rFonts w:eastAsiaTheme="minorHAnsi" w:cs="Arial"/>
          <w:sz w:val="22"/>
          <w:szCs w:val="22"/>
          <w:lang w:eastAsia="en-US"/>
        </w:rPr>
        <w:t xml:space="preserve">dia </w:t>
      </w:r>
      <w:r w:rsidR="00236B0F" w:rsidRPr="00840B22">
        <w:rPr>
          <w:rFonts w:eastAsiaTheme="minorHAnsi" w:cs="Arial"/>
          <w:sz w:val="22"/>
          <w:szCs w:val="22"/>
          <w:lang w:eastAsia="en-US"/>
        </w:rPr>
        <w:t>22</w:t>
      </w:r>
      <w:r w:rsidRPr="00840B22">
        <w:rPr>
          <w:rFonts w:eastAsiaTheme="minorHAnsi" w:cs="Arial"/>
          <w:sz w:val="22"/>
          <w:szCs w:val="22"/>
          <w:lang w:eastAsia="en-US"/>
        </w:rPr>
        <w:t>/</w:t>
      </w:r>
      <w:r w:rsidR="00E85291" w:rsidRPr="00840B22">
        <w:rPr>
          <w:rFonts w:eastAsiaTheme="minorHAnsi" w:cs="Arial"/>
          <w:sz w:val="22"/>
          <w:szCs w:val="22"/>
          <w:lang w:eastAsia="en-US"/>
        </w:rPr>
        <w:t>1</w:t>
      </w:r>
      <w:r w:rsidR="00236B0F" w:rsidRPr="00840B22">
        <w:rPr>
          <w:rFonts w:eastAsiaTheme="minorHAnsi" w:cs="Arial"/>
          <w:sz w:val="22"/>
          <w:szCs w:val="22"/>
          <w:lang w:eastAsia="en-US"/>
        </w:rPr>
        <w:t>2</w:t>
      </w:r>
      <w:r w:rsidRPr="00840B22">
        <w:rPr>
          <w:rFonts w:eastAsiaTheme="minorHAnsi" w:cs="Arial"/>
          <w:sz w:val="22"/>
          <w:szCs w:val="22"/>
          <w:lang w:eastAsia="en-US"/>
        </w:rPr>
        <w:t xml:space="preserve">/2020, iniciando </w:t>
      </w:r>
      <w:r w:rsidRPr="000F7DB8">
        <w:rPr>
          <w:rFonts w:eastAsiaTheme="minorHAnsi" w:cs="Arial"/>
          <w:sz w:val="22"/>
          <w:szCs w:val="22"/>
          <w:lang w:eastAsia="en-US"/>
        </w:rPr>
        <w:t xml:space="preserve">o processo de desmonte dos móveis às 08:00 hs, podendo a empresa de transporte contratada, com aceite da </w:t>
      </w:r>
      <w:r w:rsidR="00BE0E2A">
        <w:rPr>
          <w:rFonts w:eastAsiaTheme="minorHAnsi" w:cs="Arial"/>
          <w:sz w:val="22"/>
          <w:szCs w:val="22"/>
          <w:lang w:eastAsia="en-US"/>
        </w:rPr>
        <w:t>UREPL</w:t>
      </w:r>
      <w:r w:rsidRPr="000F7DB8">
        <w:rPr>
          <w:rFonts w:eastAsiaTheme="minorHAnsi" w:cs="Arial"/>
          <w:sz w:val="22"/>
          <w:szCs w:val="22"/>
          <w:lang w:eastAsia="en-US"/>
        </w:rPr>
        <w:t>, realizar qualquer tipo de serviço destinado a mudança (Embalagem, desmontagem, retirada das persianas) com até 2 dias de antecedência a data do carregamento dos móveis e pertenças.</w:t>
      </w:r>
    </w:p>
    <w:p w14:paraId="598EE7FA" w14:textId="77777777" w:rsidR="0069402F" w:rsidRPr="000F7DB8" w:rsidRDefault="0069402F" w:rsidP="00F76888">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A demanda do órgão tem como base as seguintes características:</w:t>
      </w:r>
    </w:p>
    <w:p w14:paraId="45A67A77" w14:textId="310D42D2" w:rsidR="00F76888" w:rsidRPr="000F7DB8" w:rsidRDefault="00F76888" w:rsidP="00F76888">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Para o dimensionamento da proposta, será disponibilizado a relação de bens com suas especificações, quantitativo e valor (tabela abaixo) a fim de as empresas participantes orcem o custo do serviço, levando-se em consideração o acréscimo do custo do seguro.</w:t>
      </w:r>
    </w:p>
    <w:p w14:paraId="21F41293" w14:textId="77777777" w:rsidR="0069402F" w:rsidRPr="000F7DB8" w:rsidRDefault="0069402F" w:rsidP="00F76888">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Informações sobre os locais de (origem/destino) e bens a serem transportados na mudança:</w:t>
      </w:r>
    </w:p>
    <w:p w14:paraId="2B794B40" w14:textId="4BCD0D86" w:rsidR="0069402F" w:rsidRPr="00A50538" w:rsidRDefault="0069402F" w:rsidP="008005F5">
      <w:pPr>
        <w:pStyle w:val="Textbody"/>
        <w:numPr>
          <w:ilvl w:val="0"/>
          <w:numId w:val="7"/>
        </w:numPr>
        <w:spacing w:before="120" w:after="0" w:line="240" w:lineRule="auto"/>
        <w:ind w:left="1587" w:hanging="397"/>
        <w:rPr>
          <w:rFonts w:ascii="Arial" w:eastAsiaTheme="minorHAnsi" w:hAnsi="Arial" w:cs="Arial"/>
          <w:kern w:val="0"/>
          <w:sz w:val="22"/>
          <w:szCs w:val="22"/>
          <w:lang w:eastAsia="en-US" w:bidi="ar-SA"/>
        </w:rPr>
      </w:pPr>
      <w:r w:rsidRPr="00A137D5">
        <w:rPr>
          <w:rFonts w:ascii="Arial" w:hAnsi="Arial" w:cs="Arial"/>
          <w:b/>
          <w:sz w:val="22"/>
          <w:szCs w:val="22"/>
        </w:rPr>
        <w:t>Origem</w:t>
      </w:r>
      <w:r w:rsidRPr="00A137D5">
        <w:rPr>
          <w:rFonts w:ascii="Arial" w:hAnsi="Arial" w:cs="Arial"/>
          <w:sz w:val="22"/>
          <w:szCs w:val="22"/>
        </w:rPr>
        <w:t xml:space="preserve">: </w:t>
      </w:r>
      <w:r w:rsidR="00A50538" w:rsidRPr="00A50538">
        <w:rPr>
          <w:rFonts w:ascii="Arial" w:eastAsiaTheme="minorHAnsi" w:hAnsi="Arial" w:cs="Arial"/>
          <w:kern w:val="0"/>
          <w:sz w:val="22"/>
          <w:szCs w:val="22"/>
          <w:lang w:eastAsia="en-US" w:bidi="ar-SA"/>
        </w:rPr>
        <w:t>Travessa Francisco Leonardo Truda, 40, salas 92 a 94, Ed. FORMAC, 9º andar, Centro</w:t>
      </w:r>
      <w:r w:rsidR="00236B0F">
        <w:rPr>
          <w:rFonts w:ascii="Arial" w:eastAsiaTheme="minorHAnsi" w:hAnsi="Arial" w:cs="Arial"/>
          <w:kern w:val="0"/>
          <w:sz w:val="22"/>
          <w:szCs w:val="22"/>
          <w:lang w:eastAsia="en-US" w:bidi="ar-SA"/>
        </w:rPr>
        <w:t xml:space="preserve"> Histórico</w:t>
      </w:r>
      <w:r w:rsidR="00A50538" w:rsidRPr="00A50538">
        <w:rPr>
          <w:rFonts w:ascii="Arial" w:eastAsiaTheme="minorHAnsi" w:hAnsi="Arial" w:cs="Arial"/>
          <w:kern w:val="0"/>
          <w:sz w:val="22"/>
          <w:szCs w:val="22"/>
          <w:lang w:eastAsia="en-US" w:bidi="ar-SA"/>
        </w:rPr>
        <w:t>,</w:t>
      </w:r>
      <w:r w:rsidR="001B373F" w:rsidRPr="00A50538">
        <w:rPr>
          <w:rFonts w:ascii="Arial" w:eastAsiaTheme="minorHAnsi" w:hAnsi="Arial" w:cs="Arial"/>
          <w:kern w:val="0"/>
          <w:sz w:val="22"/>
          <w:szCs w:val="22"/>
          <w:lang w:eastAsia="en-US" w:bidi="ar-SA"/>
        </w:rPr>
        <w:t xml:space="preserve"> </w:t>
      </w:r>
      <w:r w:rsidR="00BE0E2A" w:rsidRPr="00A50538">
        <w:rPr>
          <w:rFonts w:ascii="Arial" w:eastAsiaTheme="minorHAnsi" w:hAnsi="Arial" w:cs="Arial"/>
          <w:kern w:val="0"/>
          <w:sz w:val="22"/>
          <w:szCs w:val="22"/>
          <w:lang w:eastAsia="en-US" w:bidi="ar-SA"/>
        </w:rPr>
        <w:t>Porto Alegre</w:t>
      </w:r>
      <w:r w:rsidR="001B373F" w:rsidRPr="00A50538">
        <w:rPr>
          <w:rFonts w:ascii="Arial" w:eastAsiaTheme="minorHAnsi" w:hAnsi="Arial" w:cs="Arial"/>
          <w:kern w:val="0"/>
          <w:sz w:val="22"/>
          <w:szCs w:val="22"/>
          <w:lang w:eastAsia="en-US" w:bidi="ar-SA"/>
        </w:rPr>
        <w:t xml:space="preserve"> – </w:t>
      </w:r>
      <w:r w:rsidR="00A50538" w:rsidRPr="00A50538">
        <w:rPr>
          <w:rFonts w:ascii="Arial" w:eastAsiaTheme="minorHAnsi" w:hAnsi="Arial" w:cs="Arial"/>
          <w:kern w:val="0"/>
          <w:sz w:val="22"/>
          <w:szCs w:val="22"/>
          <w:lang w:eastAsia="en-US" w:bidi="ar-SA"/>
        </w:rPr>
        <w:t>RS</w:t>
      </w:r>
      <w:r w:rsidR="001B373F" w:rsidRPr="00A50538">
        <w:rPr>
          <w:rFonts w:ascii="Arial" w:eastAsiaTheme="minorHAnsi" w:hAnsi="Arial" w:cs="Arial"/>
          <w:kern w:val="0"/>
          <w:sz w:val="22"/>
          <w:szCs w:val="22"/>
          <w:lang w:eastAsia="en-US" w:bidi="ar-SA"/>
        </w:rPr>
        <w:t>. CEP</w:t>
      </w:r>
      <w:r w:rsidR="00A50538" w:rsidRPr="00A50538">
        <w:rPr>
          <w:rFonts w:ascii="Arial" w:eastAsiaTheme="minorHAnsi" w:hAnsi="Arial" w:cs="Arial"/>
          <w:kern w:val="0"/>
          <w:sz w:val="22"/>
          <w:szCs w:val="22"/>
          <w:lang w:eastAsia="en-US" w:bidi="ar-SA"/>
        </w:rPr>
        <w:t xml:space="preserve"> 90110-050</w:t>
      </w:r>
      <w:r w:rsidR="001B373F" w:rsidRPr="00A50538">
        <w:rPr>
          <w:rFonts w:ascii="Arial" w:eastAsiaTheme="minorHAnsi" w:hAnsi="Arial" w:cs="Arial"/>
          <w:kern w:val="0"/>
          <w:sz w:val="22"/>
          <w:szCs w:val="22"/>
          <w:lang w:eastAsia="en-US" w:bidi="ar-SA"/>
        </w:rPr>
        <w:t>.</w:t>
      </w:r>
    </w:p>
    <w:p w14:paraId="6748926A" w14:textId="16E825AD" w:rsidR="0069402F" w:rsidRPr="00A50538" w:rsidRDefault="0069402F" w:rsidP="008005F5">
      <w:pPr>
        <w:pStyle w:val="Textbody"/>
        <w:numPr>
          <w:ilvl w:val="0"/>
          <w:numId w:val="7"/>
        </w:numPr>
        <w:spacing w:before="120" w:after="0" w:line="240" w:lineRule="auto"/>
        <w:ind w:left="1560" w:hanging="357"/>
        <w:rPr>
          <w:rFonts w:ascii="Arial" w:eastAsiaTheme="minorHAnsi" w:hAnsi="Arial" w:cs="Arial"/>
          <w:kern w:val="0"/>
          <w:sz w:val="22"/>
          <w:szCs w:val="22"/>
          <w:lang w:eastAsia="en-US" w:bidi="ar-SA"/>
        </w:rPr>
      </w:pPr>
      <w:r w:rsidRPr="00A50538">
        <w:rPr>
          <w:rFonts w:ascii="Arial" w:hAnsi="Arial" w:cs="Arial"/>
          <w:b/>
          <w:sz w:val="22"/>
          <w:szCs w:val="22"/>
        </w:rPr>
        <w:t>Destino</w:t>
      </w:r>
      <w:r w:rsidRPr="00A50538">
        <w:rPr>
          <w:rFonts w:ascii="Arial" w:hAnsi="Arial" w:cs="Arial"/>
          <w:sz w:val="22"/>
          <w:szCs w:val="22"/>
        </w:rPr>
        <w:t xml:space="preserve">: </w:t>
      </w:r>
      <w:r w:rsidR="00A50538" w:rsidRPr="00A50538">
        <w:rPr>
          <w:rFonts w:ascii="Arial" w:eastAsiaTheme="minorHAnsi" w:hAnsi="Arial" w:cs="Arial"/>
          <w:kern w:val="0"/>
          <w:sz w:val="22"/>
          <w:szCs w:val="22"/>
          <w:lang w:eastAsia="en-US" w:bidi="ar-SA"/>
        </w:rPr>
        <w:t>Rua Sete de Setembro, 586, sala 1201, 12º andar</w:t>
      </w:r>
      <w:r w:rsidR="002F23D8" w:rsidRPr="00A50538">
        <w:rPr>
          <w:rFonts w:ascii="Arial" w:eastAsiaTheme="minorHAnsi" w:hAnsi="Arial" w:cs="Arial"/>
          <w:kern w:val="0"/>
          <w:sz w:val="22"/>
          <w:szCs w:val="22"/>
          <w:lang w:eastAsia="en-US" w:bidi="ar-SA"/>
        </w:rPr>
        <w:t>,</w:t>
      </w:r>
      <w:r w:rsidR="00A50538" w:rsidRPr="00A50538">
        <w:rPr>
          <w:rFonts w:ascii="Arial" w:eastAsiaTheme="minorHAnsi" w:hAnsi="Arial" w:cs="Arial"/>
          <w:kern w:val="0"/>
          <w:sz w:val="22"/>
          <w:szCs w:val="22"/>
          <w:lang w:eastAsia="en-US" w:bidi="ar-SA"/>
        </w:rPr>
        <w:t xml:space="preserve"> Centro</w:t>
      </w:r>
      <w:r w:rsidR="00236B0F">
        <w:rPr>
          <w:rFonts w:ascii="Arial" w:eastAsiaTheme="minorHAnsi" w:hAnsi="Arial" w:cs="Arial"/>
          <w:kern w:val="0"/>
          <w:sz w:val="22"/>
          <w:szCs w:val="22"/>
          <w:lang w:eastAsia="en-US" w:bidi="ar-SA"/>
        </w:rPr>
        <w:t xml:space="preserve"> Histórico</w:t>
      </w:r>
      <w:r w:rsidR="00A50538" w:rsidRPr="00A50538">
        <w:rPr>
          <w:rFonts w:ascii="Arial" w:eastAsiaTheme="minorHAnsi" w:hAnsi="Arial" w:cs="Arial"/>
          <w:kern w:val="0"/>
          <w:sz w:val="22"/>
          <w:szCs w:val="22"/>
          <w:lang w:eastAsia="en-US" w:bidi="ar-SA"/>
        </w:rPr>
        <w:t>,</w:t>
      </w:r>
      <w:r w:rsidR="002F23D8" w:rsidRPr="00A50538">
        <w:rPr>
          <w:rFonts w:ascii="Arial" w:eastAsiaTheme="minorHAnsi" w:hAnsi="Arial" w:cs="Arial"/>
          <w:kern w:val="0"/>
          <w:sz w:val="22"/>
          <w:szCs w:val="22"/>
          <w:lang w:eastAsia="en-US" w:bidi="ar-SA"/>
        </w:rPr>
        <w:t xml:space="preserve"> </w:t>
      </w:r>
      <w:r w:rsidR="00BE0E2A" w:rsidRPr="00A50538">
        <w:rPr>
          <w:rFonts w:ascii="Arial" w:eastAsiaTheme="minorHAnsi" w:hAnsi="Arial" w:cs="Arial"/>
          <w:kern w:val="0"/>
          <w:sz w:val="22"/>
          <w:szCs w:val="22"/>
          <w:lang w:eastAsia="en-US" w:bidi="ar-SA"/>
        </w:rPr>
        <w:t>Porto Alegre</w:t>
      </w:r>
      <w:r w:rsidR="002F23D8" w:rsidRPr="00A50538">
        <w:rPr>
          <w:rFonts w:ascii="Arial" w:eastAsiaTheme="minorHAnsi" w:hAnsi="Arial" w:cs="Arial"/>
          <w:kern w:val="0"/>
          <w:sz w:val="22"/>
          <w:szCs w:val="22"/>
          <w:lang w:eastAsia="en-US" w:bidi="ar-SA"/>
        </w:rPr>
        <w:t xml:space="preserve"> </w:t>
      </w:r>
      <w:r w:rsidR="001B373F" w:rsidRPr="00A50538">
        <w:rPr>
          <w:rFonts w:ascii="Arial" w:eastAsiaTheme="minorHAnsi" w:hAnsi="Arial" w:cs="Arial"/>
          <w:kern w:val="0"/>
          <w:sz w:val="22"/>
          <w:szCs w:val="22"/>
          <w:lang w:eastAsia="en-US" w:bidi="ar-SA"/>
        </w:rPr>
        <w:t>–</w:t>
      </w:r>
      <w:r w:rsidR="002F23D8" w:rsidRPr="00A50538">
        <w:rPr>
          <w:rFonts w:ascii="Arial" w:eastAsiaTheme="minorHAnsi" w:hAnsi="Arial" w:cs="Arial"/>
          <w:kern w:val="0"/>
          <w:sz w:val="22"/>
          <w:szCs w:val="22"/>
          <w:lang w:eastAsia="en-US" w:bidi="ar-SA"/>
        </w:rPr>
        <w:t xml:space="preserve"> </w:t>
      </w:r>
      <w:r w:rsidR="00A50538" w:rsidRPr="00A50538">
        <w:rPr>
          <w:rFonts w:ascii="Arial" w:eastAsiaTheme="minorHAnsi" w:hAnsi="Arial" w:cs="Arial"/>
          <w:kern w:val="0"/>
          <w:sz w:val="22"/>
          <w:szCs w:val="22"/>
          <w:lang w:eastAsia="en-US" w:bidi="ar-SA"/>
        </w:rPr>
        <w:t>RS</w:t>
      </w:r>
      <w:r w:rsidR="001B373F" w:rsidRPr="00A50538">
        <w:rPr>
          <w:rFonts w:ascii="Arial" w:eastAsiaTheme="minorHAnsi" w:hAnsi="Arial" w:cs="Arial"/>
          <w:kern w:val="0"/>
          <w:sz w:val="22"/>
          <w:szCs w:val="22"/>
          <w:lang w:eastAsia="en-US" w:bidi="ar-SA"/>
        </w:rPr>
        <w:t>.</w:t>
      </w:r>
      <w:r w:rsidR="002F23D8" w:rsidRPr="00A50538">
        <w:rPr>
          <w:rFonts w:ascii="Arial" w:eastAsiaTheme="minorHAnsi" w:hAnsi="Arial" w:cs="Arial"/>
          <w:kern w:val="0"/>
          <w:sz w:val="22"/>
          <w:szCs w:val="22"/>
          <w:lang w:eastAsia="en-US" w:bidi="ar-SA"/>
        </w:rPr>
        <w:t xml:space="preserve"> CEP </w:t>
      </w:r>
      <w:r w:rsidR="00A50538" w:rsidRPr="00A50538">
        <w:rPr>
          <w:rFonts w:ascii="Arial" w:eastAsiaTheme="minorHAnsi" w:hAnsi="Arial" w:cs="Arial"/>
          <w:kern w:val="0"/>
          <w:sz w:val="22"/>
          <w:szCs w:val="22"/>
          <w:lang w:eastAsia="en-US" w:bidi="ar-SA"/>
        </w:rPr>
        <w:t>90010-190</w:t>
      </w:r>
      <w:r w:rsidR="001B373F" w:rsidRPr="00A50538">
        <w:rPr>
          <w:rFonts w:ascii="Arial" w:eastAsiaTheme="minorHAnsi" w:hAnsi="Arial" w:cs="Arial"/>
          <w:kern w:val="0"/>
          <w:sz w:val="22"/>
          <w:szCs w:val="22"/>
          <w:lang w:eastAsia="en-US" w:bidi="ar-SA"/>
        </w:rPr>
        <w:t>.</w:t>
      </w:r>
    </w:p>
    <w:p w14:paraId="2257B107" w14:textId="77777777" w:rsidR="00F7224D" w:rsidRPr="00A50538" w:rsidRDefault="00F7224D" w:rsidP="00F7224D">
      <w:pPr>
        <w:pStyle w:val="Textbody"/>
        <w:spacing w:before="120" w:after="0" w:line="240" w:lineRule="auto"/>
        <w:ind w:left="1560"/>
        <w:rPr>
          <w:rFonts w:ascii="Arial" w:eastAsiaTheme="minorHAnsi" w:hAnsi="Arial" w:cs="Arial"/>
          <w:kern w:val="0"/>
          <w:sz w:val="22"/>
          <w:szCs w:val="22"/>
          <w:lang w:eastAsia="en-US" w:bidi="ar-SA"/>
        </w:rPr>
      </w:pPr>
    </w:p>
    <w:p w14:paraId="6873AD79" w14:textId="77777777" w:rsidR="006406ED" w:rsidRPr="00DC6AE3" w:rsidRDefault="006406ED" w:rsidP="0069402F">
      <w:pPr>
        <w:pStyle w:val="Textbody"/>
        <w:spacing w:before="120" w:after="0" w:line="240" w:lineRule="auto"/>
        <w:rPr>
          <w:color w:val="FF0000"/>
        </w:rPr>
      </w:pPr>
    </w:p>
    <w:p w14:paraId="3D190A3B" w14:textId="4DCF1C6E" w:rsidR="00F7224D" w:rsidRPr="005878FA" w:rsidRDefault="0069402F" w:rsidP="0069402F">
      <w:pPr>
        <w:pStyle w:val="Textbody"/>
        <w:rPr>
          <w:rFonts w:ascii="Arial" w:eastAsiaTheme="minorHAnsi" w:hAnsi="Arial" w:cs="Arial"/>
          <w:b/>
          <w:kern w:val="0"/>
          <w:sz w:val="22"/>
          <w:szCs w:val="22"/>
          <w:lang w:eastAsia="en-US" w:bidi="ar-SA"/>
        </w:rPr>
      </w:pPr>
      <w:r w:rsidRPr="005878FA">
        <w:rPr>
          <w:rFonts w:ascii="Arial" w:eastAsiaTheme="minorHAnsi" w:hAnsi="Arial" w:cs="Arial"/>
          <w:b/>
          <w:kern w:val="0"/>
          <w:sz w:val="22"/>
          <w:szCs w:val="22"/>
          <w:lang w:eastAsia="en-US" w:bidi="ar-SA"/>
        </w:rPr>
        <w:t xml:space="preserve">LISTA DE BENS DA </w:t>
      </w:r>
      <w:r w:rsidR="00BE0E2A">
        <w:rPr>
          <w:rFonts w:ascii="Arial" w:eastAsiaTheme="minorHAnsi" w:hAnsi="Arial" w:cs="Arial"/>
          <w:b/>
          <w:kern w:val="0"/>
          <w:sz w:val="22"/>
          <w:szCs w:val="22"/>
          <w:lang w:eastAsia="en-US" w:bidi="ar-SA"/>
        </w:rPr>
        <w:t>UREPL</w:t>
      </w:r>
      <w:r w:rsidR="00977A25" w:rsidRPr="005878FA">
        <w:rPr>
          <w:rFonts w:ascii="Arial" w:eastAsiaTheme="minorHAnsi" w:hAnsi="Arial" w:cs="Arial"/>
          <w:b/>
          <w:kern w:val="0"/>
          <w:sz w:val="22"/>
          <w:szCs w:val="22"/>
          <w:lang w:eastAsia="en-US" w:bidi="ar-SA"/>
        </w:rPr>
        <w:t xml:space="preserve"> QUE </w:t>
      </w:r>
      <w:r w:rsidR="00364BC4" w:rsidRPr="005878FA">
        <w:rPr>
          <w:rFonts w:ascii="Arial" w:eastAsiaTheme="minorHAnsi" w:hAnsi="Arial" w:cs="Arial"/>
          <w:b/>
          <w:kern w:val="0"/>
          <w:sz w:val="22"/>
          <w:szCs w:val="22"/>
          <w:lang w:eastAsia="en-US" w:bidi="ar-SA"/>
        </w:rPr>
        <w:t>SERÃO TRANSPORTADOS</w:t>
      </w:r>
    </w:p>
    <w:tbl>
      <w:tblPr>
        <w:tblW w:w="8359" w:type="dxa"/>
        <w:tblCellMar>
          <w:left w:w="70" w:type="dxa"/>
          <w:right w:w="70" w:type="dxa"/>
        </w:tblCellMar>
        <w:tblLook w:val="04A0" w:firstRow="1" w:lastRow="0" w:firstColumn="1" w:lastColumn="0" w:noHBand="0" w:noVBand="1"/>
      </w:tblPr>
      <w:tblGrid>
        <w:gridCol w:w="4957"/>
        <w:gridCol w:w="1275"/>
        <w:gridCol w:w="851"/>
        <w:gridCol w:w="1276"/>
      </w:tblGrid>
      <w:tr w:rsidR="001F1959" w:rsidRPr="005878FA" w14:paraId="7CCDFC16" w14:textId="77777777" w:rsidTr="00D70C68">
        <w:trPr>
          <w:trHeight w:val="276"/>
        </w:trPr>
        <w:tc>
          <w:tcPr>
            <w:tcW w:w="8359" w:type="dxa"/>
            <w:gridSpan w:val="4"/>
            <w:tcBorders>
              <w:top w:val="single" w:sz="4" w:space="0" w:color="000000"/>
              <w:left w:val="single" w:sz="4" w:space="0" w:color="auto"/>
              <w:bottom w:val="single" w:sz="4" w:space="0" w:color="000000"/>
              <w:right w:val="single" w:sz="4" w:space="0" w:color="000000"/>
            </w:tcBorders>
            <w:shd w:val="clear" w:color="auto" w:fill="BFBFBF" w:themeFill="background1" w:themeFillShade="BF"/>
            <w:noWrap/>
            <w:vAlign w:val="bottom"/>
            <w:hideMark/>
          </w:tcPr>
          <w:p w14:paraId="7B54BC70" w14:textId="77777777" w:rsidR="00A64D25" w:rsidRPr="005878FA" w:rsidRDefault="00A64D25" w:rsidP="00A64D25">
            <w:pPr>
              <w:jc w:val="center"/>
              <w:rPr>
                <w:rFonts w:eastAsiaTheme="minorHAnsi" w:cs="Arial"/>
                <w:sz w:val="22"/>
                <w:szCs w:val="22"/>
                <w:lang w:eastAsia="en-US"/>
              </w:rPr>
            </w:pPr>
            <w:bookmarkStart w:id="0" w:name="RANGE!B22:G57"/>
            <w:r w:rsidRPr="005878FA">
              <w:rPr>
                <w:rFonts w:eastAsiaTheme="minorHAnsi" w:cs="Arial"/>
                <w:sz w:val="22"/>
                <w:szCs w:val="22"/>
                <w:lang w:eastAsia="en-US"/>
              </w:rPr>
              <w:t>Escritório</w:t>
            </w:r>
            <w:bookmarkEnd w:id="0"/>
          </w:p>
        </w:tc>
      </w:tr>
      <w:tr w:rsidR="001F1959" w:rsidRPr="005878FA" w14:paraId="3D8E4A12" w14:textId="77777777" w:rsidTr="00D70C68">
        <w:trPr>
          <w:trHeight w:val="276"/>
        </w:trPr>
        <w:tc>
          <w:tcPr>
            <w:tcW w:w="4957" w:type="dxa"/>
            <w:tcBorders>
              <w:top w:val="single" w:sz="4" w:space="0" w:color="000000"/>
              <w:left w:val="single" w:sz="4" w:space="0" w:color="auto"/>
              <w:bottom w:val="single" w:sz="4" w:space="0" w:color="000000"/>
              <w:right w:val="single" w:sz="4" w:space="0" w:color="000000"/>
            </w:tcBorders>
            <w:shd w:val="clear" w:color="auto" w:fill="BFBFBF" w:themeFill="background1" w:themeFillShade="BF"/>
            <w:noWrap/>
            <w:vAlign w:val="center"/>
            <w:hideMark/>
          </w:tcPr>
          <w:p w14:paraId="054CCB50" w14:textId="77777777"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Item</w:t>
            </w:r>
          </w:p>
        </w:tc>
        <w:tc>
          <w:tcPr>
            <w:tcW w:w="1275" w:type="dxa"/>
            <w:tcBorders>
              <w:top w:val="nil"/>
              <w:left w:val="nil"/>
              <w:bottom w:val="single" w:sz="4" w:space="0" w:color="000000"/>
              <w:right w:val="single" w:sz="4" w:space="0" w:color="000000"/>
            </w:tcBorders>
            <w:shd w:val="clear" w:color="auto" w:fill="BFBFBF" w:themeFill="background1" w:themeFillShade="BF"/>
            <w:noWrap/>
            <w:vAlign w:val="center"/>
            <w:hideMark/>
          </w:tcPr>
          <w:p w14:paraId="6E205E27" w14:textId="3C885720" w:rsidR="00A64D25" w:rsidRPr="005878FA" w:rsidRDefault="00A64D25" w:rsidP="00CF3572">
            <w:pPr>
              <w:jc w:val="center"/>
              <w:rPr>
                <w:rFonts w:eastAsiaTheme="minorHAnsi" w:cs="Arial"/>
                <w:sz w:val="22"/>
                <w:szCs w:val="22"/>
                <w:lang w:eastAsia="en-US"/>
              </w:rPr>
            </w:pPr>
            <w:r w:rsidRPr="005878FA">
              <w:rPr>
                <w:rFonts w:eastAsiaTheme="minorHAnsi" w:cs="Arial"/>
                <w:sz w:val="22"/>
                <w:szCs w:val="22"/>
                <w:lang w:eastAsia="en-US"/>
              </w:rPr>
              <w:t>Valor Unitá</w:t>
            </w:r>
            <w:r w:rsidR="00CF3572" w:rsidRPr="005878FA">
              <w:rPr>
                <w:rFonts w:eastAsiaTheme="minorHAnsi" w:cs="Arial"/>
                <w:sz w:val="22"/>
                <w:szCs w:val="22"/>
                <w:lang w:eastAsia="en-US"/>
              </w:rPr>
              <w:t>ri</w:t>
            </w:r>
            <w:r w:rsidRPr="005878FA">
              <w:rPr>
                <w:rFonts w:eastAsiaTheme="minorHAnsi" w:cs="Arial"/>
                <w:sz w:val="22"/>
                <w:szCs w:val="22"/>
                <w:lang w:eastAsia="en-US"/>
              </w:rPr>
              <w:t>o</w:t>
            </w:r>
            <w:r w:rsidR="00CF3572" w:rsidRPr="005878FA">
              <w:rPr>
                <w:rFonts w:eastAsiaTheme="minorHAnsi" w:cs="Arial"/>
                <w:sz w:val="22"/>
                <w:szCs w:val="22"/>
                <w:lang w:eastAsia="en-US"/>
              </w:rPr>
              <w:t xml:space="preserve"> (R$)</w:t>
            </w:r>
          </w:p>
        </w:tc>
        <w:tc>
          <w:tcPr>
            <w:tcW w:w="851" w:type="dxa"/>
            <w:tcBorders>
              <w:top w:val="nil"/>
              <w:left w:val="nil"/>
              <w:bottom w:val="single" w:sz="4" w:space="0" w:color="auto"/>
              <w:right w:val="single" w:sz="4" w:space="0" w:color="000000"/>
            </w:tcBorders>
            <w:shd w:val="clear" w:color="auto" w:fill="BFBFBF" w:themeFill="background1" w:themeFillShade="BF"/>
            <w:noWrap/>
            <w:vAlign w:val="center"/>
            <w:hideMark/>
          </w:tcPr>
          <w:p w14:paraId="6AC8F0CE" w14:textId="77777777"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Quant.</w:t>
            </w:r>
          </w:p>
        </w:tc>
        <w:tc>
          <w:tcPr>
            <w:tcW w:w="1276" w:type="dxa"/>
            <w:tcBorders>
              <w:top w:val="nil"/>
              <w:left w:val="nil"/>
              <w:bottom w:val="single" w:sz="4" w:space="0" w:color="000000"/>
              <w:right w:val="single" w:sz="4" w:space="0" w:color="auto"/>
            </w:tcBorders>
            <w:shd w:val="clear" w:color="auto" w:fill="BFBFBF" w:themeFill="background1" w:themeFillShade="BF"/>
            <w:noWrap/>
            <w:vAlign w:val="center"/>
            <w:hideMark/>
          </w:tcPr>
          <w:p w14:paraId="39CB0BBE" w14:textId="048AD1B4"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Valor Total</w:t>
            </w:r>
            <w:r w:rsidR="00CF3572" w:rsidRPr="005878FA">
              <w:rPr>
                <w:rFonts w:eastAsiaTheme="minorHAnsi" w:cs="Arial"/>
                <w:sz w:val="22"/>
                <w:szCs w:val="22"/>
                <w:lang w:eastAsia="en-US"/>
              </w:rPr>
              <w:t xml:space="preserve"> (R$)</w:t>
            </w:r>
          </w:p>
        </w:tc>
      </w:tr>
      <w:tr w:rsidR="00D70C68" w:rsidRPr="005878FA" w14:paraId="35E6DC55"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16BC6A69" w14:textId="0D903128" w:rsidR="00D70C68" w:rsidRPr="005878FA" w:rsidRDefault="00D70C68" w:rsidP="00D70C68">
            <w:pPr>
              <w:rPr>
                <w:rFonts w:eastAsiaTheme="minorHAnsi" w:cs="Arial"/>
                <w:sz w:val="22"/>
                <w:szCs w:val="22"/>
                <w:lang w:eastAsia="en-US"/>
              </w:rPr>
            </w:pPr>
            <w:r w:rsidRPr="00354A85">
              <w:rPr>
                <w:rFonts w:cs="Arial"/>
                <w:color w:val="000000"/>
                <w:szCs w:val="20"/>
              </w:rPr>
              <w:t>Poltrona</w:t>
            </w:r>
            <w:r>
              <w:rPr>
                <w:rFonts w:cs="Arial"/>
                <w:color w:val="000000"/>
                <w:szCs w:val="20"/>
              </w:rPr>
              <w:t xml:space="preserve"> de escritório</w:t>
            </w:r>
            <w:r w:rsidRPr="00354A85">
              <w:rPr>
                <w:rFonts w:cs="Arial"/>
                <w:color w:val="000000"/>
                <w:szCs w:val="20"/>
              </w:rPr>
              <w:t xml:space="preserve"> giratória</w:t>
            </w:r>
          </w:p>
        </w:tc>
        <w:tc>
          <w:tcPr>
            <w:tcW w:w="1275" w:type="dxa"/>
            <w:tcBorders>
              <w:top w:val="nil"/>
              <w:left w:val="nil"/>
              <w:bottom w:val="single" w:sz="8" w:space="0" w:color="auto"/>
              <w:right w:val="single" w:sz="4" w:space="0" w:color="auto"/>
            </w:tcBorders>
            <w:noWrap/>
          </w:tcPr>
          <w:p w14:paraId="554AF7C3" w14:textId="47E48ABD"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510,43</w:t>
            </w:r>
          </w:p>
        </w:tc>
        <w:tc>
          <w:tcPr>
            <w:tcW w:w="851" w:type="dxa"/>
            <w:tcBorders>
              <w:top w:val="nil"/>
              <w:left w:val="single" w:sz="4" w:space="0" w:color="auto"/>
              <w:bottom w:val="single" w:sz="8" w:space="0" w:color="auto"/>
              <w:right w:val="single" w:sz="8" w:space="0" w:color="auto"/>
            </w:tcBorders>
            <w:noWrap/>
          </w:tcPr>
          <w:p w14:paraId="380FE7D4" w14:textId="552A24F2" w:rsidR="00D70C68" w:rsidRPr="005878FA" w:rsidRDefault="00D70C68" w:rsidP="00D70C68">
            <w:pPr>
              <w:jc w:val="center"/>
              <w:rPr>
                <w:rFonts w:eastAsiaTheme="minorHAnsi" w:cs="Arial"/>
                <w:sz w:val="22"/>
                <w:szCs w:val="22"/>
                <w:lang w:eastAsia="en-US"/>
              </w:rPr>
            </w:pPr>
            <w:r>
              <w:rPr>
                <w:rFonts w:cs="Arial"/>
                <w:color w:val="000000" w:themeColor="text1"/>
                <w:szCs w:val="20"/>
              </w:rPr>
              <w:t>23</w:t>
            </w:r>
          </w:p>
        </w:tc>
        <w:tc>
          <w:tcPr>
            <w:tcW w:w="1276" w:type="dxa"/>
            <w:tcBorders>
              <w:top w:val="nil"/>
              <w:left w:val="nil"/>
              <w:bottom w:val="single" w:sz="4" w:space="0" w:color="000000"/>
              <w:right w:val="single" w:sz="4" w:space="0" w:color="auto"/>
            </w:tcBorders>
            <w:shd w:val="clear" w:color="FFFFFF" w:fill="FFFFFF"/>
            <w:noWrap/>
          </w:tcPr>
          <w:p w14:paraId="553D90BF" w14:textId="5E6BB268"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11.739</w:t>
            </w:r>
            <w:r>
              <w:rPr>
                <w:rFonts w:cs="Arial"/>
                <w:color w:val="000000" w:themeColor="text1"/>
                <w:szCs w:val="20"/>
              </w:rPr>
              <w:t>,89</w:t>
            </w:r>
          </w:p>
        </w:tc>
      </w:tr>
      <w:tr w:rsidR="00D70C68" w:rsidRPr="005878FA" w14:paraId="5D137CD7"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749F86C3" w14:textId="6FBA74E4" w:rsidR="00D70C68" w:rsidRPr="005878FA" w:rsidRDefault="00D70C68" w:rsidP="00D70C68">
            <w:pPr>
              <w:rPr>
                <w:rFonts w:eastAsiaTheme="minorHAnsi" w:cs="Arial"/>
                <w:sz w:val="22"/>
                <w:szCs w:val="22"/>
                <w:lang w:eastAsia="en-US"/>
              </w:rPr>
            </w:pPr>
            <w:r>
              <w:rPr>
                <w:rFonts w:cs="Arial"/>
                <w:color w:val="000000" w:themeColor="text1"/>
                <w:szCs w:val="20"/>
              </w:rPr>
              <w:t>Estabilizadores</w:t>
            </w:r>
          </w:p>
        </w:tc>
        <w:tc>
          <w:tcPr>
            <w:tcW w:w="1275" w:type="dxa"/>
            <w:tcBorders>
              <w:top w:val="nil"/>
              <w:left w:val="nil"/>
              <w:bottom w:val="single" w:sz="8" w:space="0" w:color="auto"/>
              <w:right w:val="single" w:sz="4" w:space="0" w:color="auto"/>
            </w:tcBorders>
            <w:noWrap/>
          </w:tcPr>
          <w:p w14:paraId="2701D789" w14:textId="25AB4416" w:rsidR="00D70C68" w:rsidRPr="005878FA" w:rsidRDefault="00D70C68" w:rsidP="00D70C68">
            <w:pPr>
              <w:jc w:val="center"/>
              <w:rPr>
                <w:rFonts w:eastAsiaTheme="minorHAnsi" w:cs="Arial"/>
                <w:sz w:val="22"/>
                <w:szCs w:val="22"/>
                <w:lang w:eastAsia="en-US"/>
              </w:rPr>
            </w:pPr>
            <w:r>
              <w:rPr>
                <w:rFonts w:cs="Arial"/>
                <w:color w:val="000000" w:themeColor="text1"/>
                <w:szCs w:val="20"/>
              </w:rPr>
              <w:t>45,00</w:t>
            </w:r>
          </w:p>
        </w:tc>
        <w:tc>
          <w:tcPr>
            <w:tcW w:w="851" w:type="dxa"/>
            <w:tcBorders>
              <w:top w:val="nil"/>
              <w:left w:val="single" w:sz="4" w:space="0" w:color="auto"/>
              <w:bottom w:val="single" w:sz="8" w:space="0" w:color="auto"/>
              <w:right w:val="single" w:sz="8" w:space="0" w:color="auto"/>
            </w:tcBorders>
            <w:noWrap/>
          </w:tcPr>
          <w:p w14:paraId="0CB65D71" w14:textId="4CD83C64"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r>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4B2B7425" w14:textId="17F47134" w:rsidR="00D70C68" w:rsidRPr="005878FA" w:rsidRDefault="00D70C68" w:rsidP="00D70C68">
            <w:pPr>
              <w:jc w:val="center"/>
              <w:rPr>
                <w:rFonts w:eastAsiaTheme="minorHAnsi" w:cs="Arial"/>
                <w:sz w:val="22"/>
                <w:szCs w:val="22"/>
                <w:lang w:eastAsia="en-US"/>
              </w:rPr>
            </w:pPr>
            <w:r w:rsidRPr="00AD54C5">
              <w:rPr>
                <w:rFonts w:cs="Arial"/>
                <w:color w:val="000000" w:themeColor="text1"/>
                <w:szCs w:val="20"/>
              </w:rPr>
              <w:t>495,00</w:t>
            </w:r>
          </w:p>
        </w:tc>
      </w:tr>
      <w:tr w:rsidR="00D70C68" w:rsidRPr="005878FA" w14:paraId="212215E0"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22450BB6" w14:textId="5F2332DB" w:rsidR="00D70C68" w:rsidRPr="005878FA" w:rsidRDefault="00D70C68" w:rsidP="00D70C68">
            <w:pPr>
              <w:rPr>
                <w:rFonts w:eastAsiaTheme="minorHAnsi" w:cs="Arial"/>
                <w:sz w:val="22"/>
                <w:szCs w:val="22"/>
                <w:lang w:eastAsia="en-US"/>
              </w:rPr>
            </w:pPr>
            <w:r>
              <w:rPr>
                <w:rFonts w:cs="Arial"/>
                <w:color w:val="000000" w:themeColor="text1"/>
                <w:szCs w:val="20"/>
              </w:rPr>
              <w:t>Telefone</w:t>
            </w:r>
          </w:p>
        </w:tc>
        <w:tc>
          <w:tcPr>
            <w:tcW w:w="1275" w:type="dxa"/>
            <w:tcBorders>
              <w:top w:val="nil"/>
              <w:left w:val="nil"/>
              <w:bottom w:val="single" w:sz="8" w:space="0" w:color="auto"/>
              <w:right w:val="single" w:sz="4" w:space="0" w:color="auto"/>
            </w:tcBorders>
            <w:noWrap/>
          </w:tcPr>
          <w:p w14:paraId="4DDF1BCF" w14:textId="365FC826" w:rsidR="00D70C68" w:rsidRPr="005878FA" w:rsidRDefault="00D70C68" w:rsidP="00D70C68">
            <w:pPr>
              <w:jc w:val="center"/>
              <w:rPr>
                <w:rFonts w:eastAsiaTheme="minorHAnsi" w:cs="Arial"/>
                <w:sz w:val="22"/>
                <w:szCs w:val="22"/>
                <w:lang w:eastAsia="en-US"/>
              </w:rPr>
            </w:pPr>
            <w:r>
              <w:rPr>
                <w:rFonts w:cs="Arial"/>
                <w:color w:val="000000" w:themeColor="text1"/>
                <w:szCs w:val="20"/>
              </w:rPr>
              <w:t>46,50</w:t>
            </w:r>
          </w:p>
        </w:tc>
        <w:tc>
          <w:tcPr>
            <w:tcW w:w="851" w:type="dxa"/>
            <w:tcBorders>
              <w:top w:val="nil"/>
              <w:left w:val="single" w:sz="4" w:space="0" w:color="auto"/>
              <w:bottom w:val="single" w:sz="8" w:space="0" w:color="auto"/>
              <w:right w:val="single" w:sz="8" w:space="0" w:color="auto"/>
            </w:tcBorders>
            <w:noWrap/>
          </w:tcPr>
          <w:p w14:paraId="033AB41D" w14:textId="1E91B86C"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r>
              <w:rPr>
                <w:rFonts w:cs="Arial"/>
                <w:color w:val="000000" w:themeColor="text1"/>
                <w:szCs w:val="20"/>
              </w:rPr>
              <w:t>7</w:t>
            </w:r>
          </w:p>
        </w:tc>
        <w:tc>
          <w:tcPr>
            <w:tcW w:w="1276" w:type="dxa"/>
            <w:tcBorders>
              <w:top w:val="nil"/>
              <w:left w:val="nil"/>
              <w:bottom w:val="single" w:sz="4" w:space="0" w:color="000000"/>
              <w:right w:val="single" w:sz="4" w:space="0" w:color="auto"/>
            </w:tcBorders>
            <w:shd w:val="clear" w:color="FFFFFF" w:fill="FFFFFF"/>
            <w:noWrap/>
          </w:tcPr>
          <w:p w14:paraId="7E1C5CD3" w14:textId="17A7A30C" w:rsidR="00D70C68" w:rsidRPr="005878FA" w:rsidRDefault="00D70C68" w:rsidP="00D70C68">
            <w:pPr>
              <w:jc w:val="center"/>
              <w:rPr>
                <w:rFonts w:eastAsiaTheme="minorHAnsi" w:cs="Arial"/>
                <w:sz w:val="22"/>
                <w:szCs w:val="22"/>
                <w:lang w:eastAsia="en-US"/>
              </w:rPr>
            </w:pPr>
            <w:r>
              <w:rPr>
                <w:rFonts w:cs="Arial"/>
                <w:color w:val="000000" w:themeColor="text1"/>
                <w:szCs w:val="20"/>
              </w:rPr>
              <w:t>790,50</w:t>
            </w:r>
          </w:p>
        </w:tc>
      </w:tr>
      <w:tr w:rsidR="00D70C68" w:rsidRPr="005878FA" w14:paraId="0FDD0796"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065F13B3" w14:textId="6462E847" w:rsidR="00D70C68" w:rsidRPr="005878FA" w:rsidRDefault="00D70C68" w:rsidP="00D70C68">
            <w:pPr>
              <w:rPr>
                <w:rFonts w:eastAsiaTheme="minorHAnsi" w:cs="Arial"/>
                <w:sz w:val="22"/>
                <w:szCs w:val="22"/>
                <w:lang w:eastAsia="en-US"/>
              </w:rPr>
            </w:pPr>
            <w:r>
              <w:rPr>
                <w:rFonts w:cs="Arial"/>
                <w:color w:val="000000" w:themeColor="text1"/>
                <w:szCs w:val="20"/>
              </w:rPr>
              <w:t>Sofás 1,48mx0,87mx0,77m</w:t>
            </w:r>
          </w:p>
        </w:tc>
        <w:tc>
          <w:tcPr>
            <w:tcW w:w="1275" w:type="dxa"/>
            <w:tcBorders>
              <w:top w:val="nil"/>
              <w:left w:val="nil"/>
              <w:bottom w:val="single" w:sz="8" w:space="0" w:color="auto"/>
              <w:right w:val="single" w:sz="4" w:space="0" w:color="auto"/>
            </w:tcBorders>
            <w:noWrap/>
          </w:tcPr>
          <w:p w14:paraId="08837F6A" w14:textId="138E3093" w:rsidR="00D70C68" w:rsidRPr="005878FA" w:rsidRDefault="00D70C68" w:rsidP="00D70C68">
            <w:pPr>
              <w:jc w:val="center"/>
              <w:rPr>
                <w:rFonts w:eastAsiaTheme="minorHAnsi" w:cs="Arial"/>
                <w:sz w:val="22"/>
                <w:szCs w:val="22"/>
                <w:lang w:eastAsia="en-US"/>
              </w:rPr>
            </w:pPr>
            <w:r>
              <w:rPr>
                <w:rFonts w:cs="Arial"/>
                <w:color w:val="000000" w:themeColor="text1"/>
                <w:szCs w:val="20"/>
              </w:rPr>
              <w:t>965,60</w:t>
            </w:r>
          </w:p>
        </w:tc>
        <w:tc>
          <w:tcPr>
            <w:tcW w:w="851" w:type="dxa"/>
            <w:tcBorders>
              <w:top w:val="nil"/>
              <w:left w:val="single" w:sz="4" w:space="0" w:color="auto"/>
              <w:bottom w:val="single" w:sz="8" w:space="0" w:color="auto"/>
              <w:right w:val="single" w:sz="8" w:space="0" w:color="auto"/>
            </w:tcBorders>
            <w:noWrap/>
          </w:tcPr>
          <w:p w14:paraId="37BBC0A1" w14:textId="575CD6E2" w:rsidR="00D70C68" w:rsidRPr="005878FA" w:rsidRDefault="00D70C68" w:rsidP="00D70C68">
            <w:pPr>
              <w:jc w:val="center"/>
              <w:rPr>
                <w:rFonts w:eastAsiaTheme="minorHAnsi" w:cs="Arial"/>
                <w:sz w:val="22"/>
                <w:szCs w:val="22"/>
                <w:lang w:eastAsia="en-US"/>
              </w:rPr>
            </w:pPr>
            <w:r>
              <w:rPr>
                <w:rFonts w:cs="Arial"/>
                <w:color w:val="000000" w:themeColor="text1"/>
                <w:szCs w:val="20"/>
              </w:rPr>
              <w:t>4</w:t>
            </w:r>
          </w:p>
        </w:tc>
        <w:tc>
          <w:tcPr>
            <w:tcW w:w="1276" w:type="dxa"/>
            <w:tcBorders>
              <w:top w:val="nil"/>
              <w:left w:val="nil"/>
              <w:bottom w:val="single" w:sz="4" w:space="0" w:color="000000"/>
              <w:right w:val="single" w:sz="4" w:space="0" w:color="auto"/>
            </w:tcBorders>
            <w:shd w:val="clear" w:color="FFFFFF" w:fill="FFFFFF"/>
            <w:noWrap/>
          </w:tcPr>
          <w:p w14:paraId="38D9A007" w14:textId="1526BDF5" w:rsidR="00D70C68" w:rsidRPr="005878FA" w:rsidRDefault="00D70C68" w:rsidP="00D70C68">
            <w:pPr>
              <w:jc w:val="center"/>
              <w:rPr>
                <w:rFonts w:eastAsiaTheme="minorHAnsi" w:cs="Arial"/>
                <w:sz w:val="22"/>
                <w:szCs w:val="22"/>
                <w:lang w:eastAsia="en-US"/>
              </w:rPr>
            </w:pPr>
            <w:r>
              <w:rPr>
                <w:rFonts w:cs="Arial"/>
                <w:color w:val="000000" w:themeColor="text1"/>
                <w:szCs w:val="20"/>
              </w:rPr>
              <w:t>3.862,40</w:t>
            </w:r>
          </w:p>
        </w:tc>
      </w:tr>
      <w:tr w:rsidR="00D70C68" w:rsidRPr="005878FA" w14:paraId="473221E9"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229AA7C9" w14:textId="4175DB23" w:rsidR="00D70C68" w:rsidRPr="005878FA" w:rsidRDefault="00D70C68" w:rsidP="00D70C68">
            <w:pPr>
              <w:rPr>
                <w:rFonts w:eastAsiaTheme="minorHAnsi" w:cs="Arial"/>
                <w:sz w:val="22"/>
                <w:szCs w:val="22"/>
                <w:lang w:eastAsia="en-US"/>
              </w:rPr>
            </w:pPr>
            <w:r>
              <w:rPr>
                <w:rFonts w:cs="Arial"/>
                <w:color w:val="000000" w:themeColor="text1"/>
                <w:szCs w:val="20"/>
              </w:rPr>
              <w:t>Geladeira Electrolux 262l</w:t>
            </w:r>
          </w:p>
        </w:tc>
        <w:tc>
          <w:tcPr>
            <w:tcW w:w="1275" w:type="dxa"/>
            <w:tcBorders>
              <w:top w:val="nil"/>
              <w:left w:val="nil"/>
              <w:bottom w:val="single" w:sz="8" w:space="0" w:color="auto"/>
              <w:right w:val="single" w:sz="4" w:space="0" w:color="auto"/>
            </w:tcBorders>
            <w:noWrap/>
          </w:tcPr>
          <w:p w14:paraId="222382D2" w14:textId="50EA37EA" w:rsidR="00D70C68" w:rsidRPr="005878FA" w:rsidRDefault="00D70C68" w:rsidP="00D70C68">
            <w:pPr>
              <w:jc w:val="center"/>
              <w:rPr>
                <w:rFonts w:eastAsiaTheme="minorHAnsi" w:cs="Arial"/>
                <w:sz w:val="22"/>
                <w:szCs w:val="22"/>
                <w:lang w:eastAsia="en-US"/>
              </w:rPr>
            </w:pPr>
            <w:r>
              <w:rPr>
                <w:rFonts w:cs="Arial"/>
                <w:color w:val="000000" w:themeColor="text1"/>
                <w:szCs w:val="20"/>
              </w:rPr>
              <w:t>850,00</w:t>
            </w:r>
          </w:p>
        </w:tc>
        <w:tc>
          <w:tcPr>
            <w:tcW w:w="851" w:type="dxa"/>
            <w:tcBorders>
              <w:top w:val="nil"/>
              <w:left w:val="single" w:sz="4" w:space="0" w:color="auto"/>
              <w:bottom w:val="single" w:sz="8" w:space="0" w:color="auto"/>
              <w:right w:val="single" w:sz="8" w:space="0" w:color="auto"/>
            </w:tcBorders>
            <w:noWrap/>
          </w:tcPr>
          <w:p w14:paraId="475E70A1" w14:textId="1FAC792A"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0D13AF20" w14:textId="0A521522" w:rsidR="00D70C68" w:rsidRPr="005878FA" w:rsidRDefault="00D70C68" w:rsidP="00D70C68">
            <w:pPr>
              <w:jc w:val="center"/>
              <w:rPr>
                <w:rFonts w:eastAsiaTheme="minorHAnsi" w:cs="Arial"/>
                <w:sz w:val="22"/>
                <w:szCs w:val="22"/>
                <w:lang w:eastAsia="en-US"/>
              </w:rPr>
            </w:pPr>
            <w:r>
              <w:rPr>
                <w:rFonts w:cs="Arial"/>
                <w:color w:val="000000" w:themeColor="text1"/>
                <w:szCs w:val="20"/>
              </w:rPr>
              <w:t>850,00</w:t>
            </w:r>
          </w:p>
        </w:tc>
      </w:tr>
      <w:tr w:rsidR="00D70C68" w:rsidRPr="005878FA" w14:paraId="05E38A32"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4FA9364C" w14:textId="6164A468" w:rsidR="00D70C68" w:rsidRPr="005878FA" w:rsidRDefault="00D70C68" w:rsidP="00D70C68">
            <w:pPr>
              <w:rPr>
                <w:rFonts w:eastAsiaTheme="minorHAnsi" w:cs="Arial"/>
                <w:sz w:val="22"/>
                <w:szCs w:val="22"/>
                <w:lang w:eastAsia="en-US"/>
              </w:rPr>
            </w:pPr>
            <w:r>
              <w:rPr>
                <w:rFonts w:cs="Arial"/>
                <w:color w:val="000000" w:themeColor="text1"/>
                <w:szCs w:val="20"/>
              </w:rPr>
              <w:t>Armário Bx Mad.0,8mx0,49x0,74m</w:t>
            </w:r>
          </w:p>
        </w:tc>
        <w:tc>
          <w:tcPr>
            <w:tcW w:w="1275" w:type="dxa"/>
            <w:tcBorders>
              <w:top w:val="nil"/>
              <w:left w:val="nil"/>
              <w:bottom w:val="single" w:sz="8" w:space="0" w:color="auto"/>
              <w:right w:val="single" w:sz="4" w:space="0" w:color="auto"/>
            </w:tcBorders>
            <w:noWrap/>
          </w:tcPr>
          <w:p w14:paraId="2994D48F" w14:textId="446FF4E8" w:rsidR="00D70C68" w:rsidRPr="005878FA" w:rsidRDefault="00D70C68" w:rsidP="00D70C68">
            <w:pPr>
              <w:jc w:val="center"/>
              <w:rPr>
                <w:rFonts w:eastAsiaTheme="minorHAnsi" w:cs="Arial"/>
                <w:sz w:val="22"/>
                <w:szCs w:val="22"/>
                <w:lang w:eastAsia="en-US"/>
              </w:rPr>
            </w:pPr>
            <w:r>
              <w:rPr>
                <w:rFonts w:cs="Arial"/>
                <w:color w:val="000000" w:themeColor="text1"/>
                <w:szCs w:val="20"/>
              </w:rPr>
              <w:t>273,00</w:t>
            </w:r>
          </w:p>
        </w:tc>
        <w:tc>
          <w:tcPr>
            <w:tcW w:w="851" w:type="dxa"/>
            <w:tcBorders>
              <w:top w:val="nil"/>
              <w:left w:val="single" w:sz="4" w:space="0" w:color="auto"/>
              <w:bottom w:val="single" w:sz="8" w:space="0" w:color="auto"/>
              <w:right w:val="single" w:sz="8" w:space="0" w:color="auto"/>
            </w:tcBorders>
            <w:noWrap/>
          </w:tcPr>
          <w:p w14:paraId="4DAB2859" w14:textId="36B10AAA" w:rsidR="00D70C68" w:rsidRPr="005878FA" w:rsidRDefault="00D70C68" w:rsidP="00D70C68">
            <w:pPr>
              <w:jc w:val="center"/>
              <w:rPr>
                <w:rFonts w:eastAsiaTheme="minorHAnsi" w:cs="Arial"/>
                <w:sz w:val="22"/>
                <w:szCs w:val="22"/>
                <w:lang w:eastAsia="en-US"/>
              </w:rPr>
            </w:pPr>
            <w:r>
              <w:rPr>
                <w:rFonts w:cs="Arial"/>
                <w:color w:val="000000" w:themeColor="text1"/>
                <w:szCs w:val="20"/>
              </w:rPr>
              <w:t>15</w:t>
            </w:r>
          </w:p>
        </w:tc>
        <w:tc>
          <w:tcPr>
            <w:tcW w:w="1276" w:type="dxa"/>
            <w:tcBorders>
              <w:top w:val="nil"/>
              <w:left w:val="nil"/>
              <w:bottom w:val="single" w:sz="4" w:space="0" w:color="000000"/>
              <w:right w:val="single" w:sz="4" w:space="0" w:color="auto"/>
            </w:tcBorders>
            <w:shd w:val="clear" w:color="FFFFFF" w:fill="FFFFFF"/>
            <w:noWrap/>
          </w:tcPr>
          <w:p w14:paraId="3A37B33A" w14:textId="0A016484" w:rsidR="00D70C68" w:rsidRPr="005878FA" w:rsidRDefault="00D70C68" w:rsidP="00D70C68">
            <w:pPr>
              <w:jc w:val="center"/>
              <w:rPr>
                <w:rFonts w:eastAsiaTheme="minorHAnsi" w:cs="Arial"/>
                <w:sz w:val="22"/>
                <w:szCs w:val="22"/>
                <w:lang w:eastAsia="en-US"/>
              </w:rPr>
            </w:pPr>
            <w:r>
              <w:rPr>
                <w:rFonts w:cs="Arial"/>
                <w:color w:val="000000" w:themeColor="text1"/>
                <w:szCs w:val="20"/>
              </w:rPr>
              <w:t>4.095,00</w:t>
            </w:r>
          </w:p>
        </w:tc>
      </w:tr>
      <w:tr w:rsidR="00D70C68" w:rsidRPr="005878FA" w14:paraId="4D5D3265"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053728D6" w14:textId="6D0409B0" w:rsidR="00D70C68" w:rsidRPr="005878FA" w:rsidRDefault="00D70C68" w:rsidP="00D70C68">
            <w:pPr>
              <w:rPr>
                <w:rFonts w:eastAsiaTheme="minorHAnsi" w:cs="Arial"/>
                <w:sz w:val="22"/>
                <w:szCs w:val="22"/>
                <w:lang w:eastAsia="en-US"/>
              </w:rPr>
            </w:pPr>
            <w:r>
              <w:rPr>
                <w:rFonts w:cs="Arial"/>
                <w:color w:val="000000" w:themeColor="text1"/>
                <w:szCs w:val="20"/>
              </w:rPr>
              <w:t>Televisor em cores (S.Toshiba 42)</w:t>
            </w:r>
          </w:p>
        </w:tc>
        <w:tc>
          <w:tcPr>
            <w:tcW w:w="1275" w:type="dxa"/>
            <w:tcBorders>
              <w:top w:val="nil"/>
              <w:left w:val="nil"/>
              <w:bottom w:val="single" w:sz="8" w:space="0" w:color="auto"/>
              <w:right w:val="single" w:sz="4" w:space="0" w:color="auto"/>
            </w:tcBorders>
            <w:noWrap/>
          </w:tcPr>
          <w:p w14:paraId="30265AC8" w14:textId="16134D83" w:rsidR="00D70C68" w:rsidRPr="005878FA" w:rsidRDefault="00D70C68" w:rsidP="00D70C68">
            <w:pPr>
              <w:jc w:val="center"/>
              <w:rPr>
                <w:rFonts w:eastAsiaTheme="minorHAnsi" w:cs="Arial"/>
                <w:sz w:val="22"/>
                <w:szCs w:val="22"/>
                <w:lang w:eastAsia="en-US"/>
              </w:rPr>
            </w:pPr>
            <w:r>
              <w:rPr>
                <w:rFonts w:cs="Arial"/>
                <w:color w:val="000000" w:themeColor="text1"/>
                <w:szCs w:val="20"/>
              </w:rPr>
              <w:t>2.514,20</w:t>
            </w:r>
          </w:p>
        </w:tc>
        <w:tc>
          <w:tcPr>
            <w:tcW w:w="851" w:type="dxa"/>
            <w:tcBorders>
              <w:top w:val="nil"/>
              <w:left w:val="single" w:sz="4" w:space="0" w:color="auto"/>
              <w:bottom w:val="single" w:sz="8" w:space="0" w:color="auto"/>
              <w:right w:val="single" w:sz="8" w:space="0" w:color="auto"/>
            </w:tcBorders>
            <w:noWrap/>
          </w:tcPr>
          <w:p w14:paraId="4A75779B" w14:textId="40F2DD65"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177A640E" w14:textId="7279C10A" w:rsidR="00D70C68" w:rsidRPr="005878FA" w:rsidRDefault="00D70C68" w:rsidP="00D70C68">
            <w:pPr>
              <w:jc w:val="center"/>
              <w:rPr>
                <w:rFonts w:eastAsiaTheme="minorHAnsi" w:cs="Arial"/>
                <w:sz w:val="22"/>
                <w:szCs w:val="22"/>
                <w:lang w:eastAsia="en-US"/>
              </w:rPr>
            </w:pPr>
            <w:r>
              <w:rPr>
                <w:rFonts w:cs="Arial"/>
                <w:color w:val="000000" w:themeColor="text1"/>
                <w:szCs w:val="20"/>
              </w:rPr>
              <w:t>2.514,20</w:t>
            </w:r>
          </w:p>
        </w:tc>
      </w:tr>
      <w:tr w:rsidR="00D70C68" w:rsidRPr="005878FA" w14:paraId="246A3A5A"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053956A4" w14:textId="4EF491F5" w:rsidR="00D70C68" w:rsidRPr="005878FA" w:rsidRDefault="00D70C68" w:rsidP="00D70C68">
            <w:pPr>
              <w:rPr>
                <w:rFonts w:eastAsiaTheme="minorHAnsi" w:cs="Arial"/>
                <w:sz w:val="22"/>
                <w:szCs w:val="22"/>
                <w:lang w:eastAsia="en-US"/>
              </w:rPr>
            </w:pPr>
            <w:r>
              <w:rPr>
                <w:rFonts w:cs="Arial"/>
                <w:color w:val="000000" w:themeColor="text1"/>
                <w:szCs w:val="20"/>
              </w:rPr>
              <w:t>Persiana vertical em PVC</w:t>
            </w:r>
          </w:p>
        </w:tc>
        <w:tc>
          <w:tcPr>
            <w:tcW w:w="1275" w:type="dxa"/>
            <w:tcBorders>
              <w:top w:val="nil"/>
              <w:left w:val="nil"/>
              <w:bottom w:val="single" w:sz="8" w:space="0" w:color="auto"/>
              <w:right w:val="single" w:sz="4" w:space="0" w:color="auto"/>
            </w:tcBorders>
            <w:noWrap/>
          </w:tcPr>
          <w:p w14:paraId="03BD8715" w14:textId="7D915D46" w:rsidR="00D70C68" w:rsidRPr="005878FA" w:rsidRDefault="00D70C68" w:rsidP="00D70C68">
            <w:pPr>
              <w:jc w:val="center"/>
              <w:rPr>
                <w:rFonts w:eastAsiaTheme="minorHAnsi" w:cs="Arial"/>
                <w:sz w:val="22"/>
                <w:szCs w:val="22"/>
                <w:lang w:eastAsia="en-US"/>
              </w:rPr>
            </w:pPr>
            <w:r>
              <w:rPr>
                <w:rFonts w:cs="Arial"/>
                <w:color w:val="000000" w:themeColor="text1"/>
                <w:szCs w:val="20"/>
              </w:rPr>
              <w:t>294,00</w:t>
            </w:r>
          </w:p>
        </w:tc>
        <w:tc>
          <w:tcPr>
            <w:tcW w:w="851" w:type="dxa"/>
            <w:tcBorders>
              <w:top w:val="nil"/>
              <w:left w:val="single" w:sz="4" w:space="0" w:color="auto"/>
              <w:bottom w:val="single" w:sz="8" w:space="0" w:color="auto"/>
              <w:right w:val="single" w:sz="8" w:space="0" w:color="auto"/>
            </w:tcBorders>
            <w:noWrap/>
          </w:tcPr>
          <w:p w14:paraId="18F3D845" w14:textId="40244A07"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r>
              <w:rPr>
                <w:rFonts w:cs="Arial"/>
                <w:color w:val="000000" w:themeColor="text1"/>
                <w:szCs w:val="20"/>
              </w:rPr>
              <w:t>6</w:t>
            </w:r>
          </w:p>
        </w:tc>
        <w:tc>
          <w:tcPr>
            <w:tcW w:w="1276" w:type="dxa"/>
            <w:tcBorders>
              <w:top w:val="nil"/>
              <w:left w:val="nil"/>
              <w:bottom w:val="single" w:sz="4" w:space="0" w:color="000000"/>
              <w:right w:val="single" w:sz="4" w:space="0" w:color="auto"/>
            </w:tcBorders>
            <w:shd w:val="clear" w:color="FFFFFF" w:fill="FFFFFF"/>
            <w:noWrap/>
          </w:tcPr>
          <w:p w14:paraId="5DBC85EA" w14:textId="43EF9977" w:rsidR="00D70C68" w:rsidRPr="005878FA" w:rsidRDefault="00D70C68" w:rsidP="00D70C68">
            <w:pPr>
              <w:jc w:val="center"/>
              <w:rPr>
                <w:rFonts w:eastAsiaTheme="minorHAnsi" w:cs="Arial"/>
                <w:sz w:val="22"/>
                <w:szCs w:val="22"/>
                <w:lang w:eastAsia="en-US"/>
              </w:rPr>
            </w:pPr>
            <w:r>
              <w:rPr>
                <w:rFonts w:cs="Arial"/>
                <w:color w:val="000000" w:themeColor="text1"/>
                <w:szCs w:val="20"/>
              </w:rPr>
              <w:t>4.704,00</w:t>
            </w:r>
          </w:p>
        </w:tc>
      </w:tr>
      <w:tr w:rsidR="00D70C68" w:rsidRPr="005878FA" w14:paraId="36297EC5"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1A4D4818" w14:textId="179048EF" w:rsidR="00D70C68" w:rsidRPr="005878FA" w:rsidRDefault="00D70C68" w:rsidP="00D70C68">
            <w:pPr>
              <w:rPr>
                <w:rFonts w:eastAsiaTheme="minorHAnsi" w:cs="Arial"/>
                <w:sz w:val="22"/>
                <w:szCs w:val="22"/>
                <w:lang w:eastAsia="en-US"/>
              </w:rPr>
            </w:pPr>
            <w:r>
              <w:rPr>
                <w:rFonts w:cs="Arial"/>
                <w:color w:val="000000" w:themeColor="text1"/>
                <w:szCs w:val="20"/>
              </w:rPr>
              <w:t>Armário Alto em Madeira 0,80x 0,50x 1,60</w:t>
            </w:r>
          </w:p>
        </w:tc>
        <w:tc>
          <w:tcPr>
            <w:tcW w:w="1275" w:type="dxa"/>
            <w:tcBorders>
              <w:top w:val="nil"/>
              <w:left w:val="nil"/>
              <w:bottom w:val="single" w:sz="8" w:space="0" w:color="auto"/>
              <w:right w:val="single" w:sz="4" w:space="0" w:color="auto"/>
            </w:tcBorders>
            <w:noWrap/>
          </w:tcPr>
          <w:p w14:paraId="21D37971" w14:textId="4CB43998" w:rsidR="00D70C68" w:rsidRPr="005878FA" w:rsidRDefault="00D70C68" w:rsidP="00D70C68">
            <w:pPr>
              <w:jc w:val="center"/>
              <w:rPr>
                <w:rFonts w:eastAsiaTheme="minorHAnsi" w:cs="Arial"/>
                <w:sz w:val="22"/>
                <w:szCs w:val="22"/>
                <w:lang w:eastAsia="en-US"/>
              </w:rPr>
            </w:pPr>
            <w:r>
              <w:rPr>
                <w:rFonts w:cs="Arial"/>
                <w:color w:val="000000" w:themeColor="text1"/>
                <w:szCs w:val="20"/>
              </w:rPr>
              <w:t>500,00</w:t>
            </w:r>
          </w:p>
        </w:tc>
        <w:tc>
          <w:tcPr>
            <w:tcW w:w="851" w:type="dxa"/>
            <w:tcBorders>
              <w:top w:val="nil"/>
              <w:left w:val="single" w:sz="4" w:space="0" w:color="auto"/>
              <w:bottom w:val="single" w:sz="8" w:space="0" w:color="auto"/>
              <w:right w:val="single" w:sz="8" w:space="0" w:color="auto"/>
            </w:tcBorders>
            <w:noWrap/>
          </w:tcPr>
          <w:p w14:paraId="48E6AAC8" w14:textId="4B38BC51" w:rsidR="00D70C68" w:rsidRPr="005878FA" w:rsidRDefault="00D70C68" w:rsidP="00D70C68">
            <w:pPr>
              <w:jc w:val="center"/>
              <w:rPr>
                <w:rFonts w:eastAsiaTheme="minorHAnsi" w:cs="Arial"/>
                <w:sz w:val="22"/>
                <w:szCs w:val="22"/>
                <w:lang w:eastAsia="en-US"/>
              </w:rPr>
            </w:pPr>
            <w:r>
              <w:rPr>
                <w:rFonts w:cs="Arial"/>
                <w:color w:val="000000" w:themeColor="text1"/>
                <w:szCs w:val="20"/>
              </w:rPr>
              <w:t>6</w:t>
            </w:r>
          </w:p>
        </w:tc>
        <w:tc>
          <w:tcPr>
            <w:tcW w:w="1276" w:type="dxa"/>
            <w:tcBorders>
              <w:top w:val="nil"/>
              <w:left w:val="nil"/>
              <w:bottom w:val="single" w:sz="4" w:space="0" w:color="000000"/>
              <w:right w:val="single" w:sz="4" w:space="0" w:color="auto"/>
            </w:tcBorders>
            <w:shd w:val="clear" w:color="FFFFFF" w:fill="FFFFFF"/>
            <w:noWrap/>
          </w:tcPr>
          <w:p w14:paraId="5432A67A" w14:textId="59DF3562" w:rsidR="00D70C68" w:rsidRPr="005878FA" w:rsidRDefault="00D70C68" w:rsidP="00D70C68">
            <w:pPr>
              <w:jc w:val="center"/>
              <w:rPr>
                <w:rFonts w:eastAsiaTheme="minorHAnsi" w:cs="Arial"/>
                <w:sz w:val="22"/>
                <w:szCs w:val="22"/>
                <w:lang w:eastAsia="en-US"/>
              </w:rPr>
            </w:pPr>
            <w:r>
              <w:rPr>
                <w:rFonts w:cs="Arial"/>
                <w:color w:val="000000" w:themeColor="text1"/>
                <w:szCs w:val="20"/>
              </w:rPr>
              <w:t>3.000,00</w:t>
            </w:r>
          </w:p>
        </w:tc>
      </w:tr>
      <w:tr w:rsidR="00D70C68" w:rsidRPr="005878FA" w14:paraId="3ADCBD97"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70F12D58" w14:textId="154AC601" w:rsidR="00D70C68" w:rsidRPr="005878FA" w:rsidRDefault="00D70C68" w:rsidP="00D70C68">
            <w:pPr>
              <w:rPr>
                <w:rFonts w:eastAsiaTheme="minorHAnsi" w:cs="Arial"/>
                <w:sz w:val="22"/>
                <w:szCs w:val="22"/>
                <w:lang w:eastAsia="en-US"/>
              </w:rPr>
            </w:pPr>
            <w:r>
              <w:rPr>
                <w:rFonts w:cs="Arial"/>
                <w:color w:val="000000" w:themeColor="text1"/>
                <w:szCs w:val="20"/>
              </w:rPr>
              <w:t>Mesa Reunião Madeira 3,2m x 1m x 0,74</w:t>
            </w:r>
          </w:p>
        </w:tc>
        <w:tc>
          <w:tcPr>
            <w:tcW w:w="1275" w:type="dxa"/>
            <w:tcBorders>
              <w:top w:val="nil"/>
              <w:left w:val="nil"/>
              <w:bottom w:val="single" w:sz="8" w:space="0" w:color="auto"/>
              <w:right w:val="single" w:sz="4" w:space="0" w:color="auto"/>
            </w:tcBorders>
            <w:noWrap/>
          </w:tcPr>
          <w:p w14:paraId="6F658ABE" w14:textId="39125D1A" w:rsidR="00D70C68" w:rsidRPr="005878FA" w:rsidRDefault="00D70C68" w:rsidP="00D70C68">
            <w:pPr>
              <w:jc w:val="center"/>
              <w:rPr>
                <w:rFonts w:eastAsiaTheme="minorHAnsi" w:cs="Arial"/>
                <w:sz w:val="22"/>
                <w:szCs w:val="22"/>
                <w:lang w:eastAsia="en-US"/>
              </w:rPr>
            </w:pPr>
            <w:r>
              <w:rPr>
                <w:rFonts w:cs="Arial"/>
                <w:color w:val="000000" w:themeColor="text1"/>
                <w:szCs w:val="20"/>
              </w:rPr>
              <w:t>698,00</w:t>
            </w:r>
          </w:p>
        </w:tc>
        <w:tc>
          <w:tcPr>
            <w:tcW w:w="851" w:type="dxa"/>
            <w:tcBorders>
              <w:top w:val="nil"/>
              <w:left w:val="single" w:sz="4" w:space="0" w:color="auto"/>
              <w:bottom w:val="single" w:sz="8" w:space="0" w:color="auto"/>
              <w:right w:val="single" w:sz="8" w:space="0" w:color="auto"/>
            </w:tcBorders>
            <w:noWrap/>
          </w:tcPr>
          <w:p w14:paraId="25888BF1" w14:textId="5A9D5E18"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026D6C34" w14:textId="630FD18F" w:rsidR="00D70C68" w:rsidRPr="005878FA" w:rsidRDefault="00D70C68" w:rsidP="00D70C68">
            <w:pPr>
              <w:jc w:val="center"/>
              <w:rPr>
                <w:rFonts w:eastAsiaTheme="minorHAnsi" w:cs="Arial"/>
                <w:sz w:val="22"/>
                <w:szCs w:val="22"/>
                <w:lang w:eastAsia="en-US"/>
              </w:rPr>
            </w:pPr>
            <w:r>
              <w:rPr>
                <w:rFonts w:cs="Arial"/>
                <w:color w:val="000000" w:themeColor="text1"/>
                <w:szCs w:val="20"/>
              </w:rPr>
              <w:t>698,00</w:t>
            </w:r>
          </w:p>
        </w:tc>
      </w:tr>
      <w:tr w:rsidR="00D70C68" w:rsidRPr="005878FA" w14:paraId="1C26F142"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41621443" w14:textId="709ACB48" w:rsidR="00D70C68" w:rsidRPr="005878FA" w:rsidRDefault="00D70C68" w:rsidP="00D70C68">
            <w:pPr>
              <w:rPr>
                <w:rFonts w:eastAsiaTheme="minorHAnsi" w:cs="Arial"/>
                <w:sz w:val="22"/>
                <w:szCs w:val="22"/>
                <w:lang w:eastAsia="en-US"/>
              </w:rPr>
            </w:pPr>
            <w:r>
              <w:rPr>
                <w:rFonts w:cs="Arial"/>
                <w:color w:val="000000" w:themeColor="text1"/>
                <w:szCs w:val="20"/>
              </w:rPr>
              <w:t>Mesa Escritório Madeira 1,40m x 0,7 x 0,8</w:t>
            </w:r>
          </w:p>
        </w:tc>
        <w:tc>
          <w:tcPr>
            <w:tcW w:w="1275" w:type="dxa"/>
            <w:tcBorders>
              <w:top w:val="nil"/>
              <w:left w:val="nil"/>
              <w:bottom w:val="single" w:sz="8" w:space="0" w:color="auto"/>
              <w:right w:val="single" w:sz="4" w:space="0" w:color="auto"/>
            </w:tcBorders>
            <w:noWrap/>
          </w:tcPr>
          <w:p w14:paraId="6AB026FA" w14:textId="108A82F8" w:rsidR="00D70C68" w:rsidRPr="005878FA" w:rsidRDefault="00D70C68" w:rsidP="00D70C68">
            <w:pPr>
              <w:jc w:val="center"/>
              <w:rPr>
                <w:rFonts w:eastAsiaTheme="minorHAnsi" w:cs="Arial"/>
                <w:sz w:val="22"/>
                <w:szCs w:val="22"/>
                <w:lang w:eastAsia="en-US"/>
              </w:rPr>
            </w:pPr>
            <w:r>
              <w:rPr>
                <w:rFonts w:cs="Arial"/>
                <w:color w:val="000000" w:themeColor="text1"/>
                <w:szCs w:val="20"/>
              </w:rPr>
              <w:t>240,00</w:t>
            </w:r>
          </w:p>
        </w:tc>
        <w:tc>
          <w:tcPr>
            <w:tcW w:w="851" w:type="dxa"/>
            <w:tcBorders>
              <w:top w:val="nil"/>
              <w:left w:val="single" w:sz="4" w:space="0" w:color="auto"/>
              <w:bottom w:val="single" w:sz="8" w:space="0" w:color="auto"/>
              <w:right w:val="single" w:sz="8" w:space="0" w:color="auto"/>
            </w:tcBorders>
            <w:noWrap/>
          </w:tcPr>
          <w:p w14:paraId="02D44075" w14:textId="622FA36C"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23B970BE" w14:textId="70E7366F" w:rsidR="00D70C68" w:rsidRPr="005878FA" w:rsidRDefault="00D70C68" w:rsidP="00D70C68">
            <w:pPr>
              <w:jc w:val="center"/>
              <w:rPr>
                <w:rFonts w:eastAsiaTheme="minorHAnsi" w:cs="Arial"/>
                <w:sz w:val="22"/>
                <w:szCs w:val="22"/>
                <w:lang w:eastAsia="en-US"/>
              </w:rPr>
            </w:pPr>
            <w:r>
              <w:rPr>
                <w:rFonts w:cs="Arial"/>
                <w:color w:val="000000" w:themeColor="text1"/>
                <w:szCs w:val="20"/>
              </w:rPr>
              <w:t>240,00</w:t>
            </w:r>
          </w:p>
        </w:tc>
      </w:tr>
      <w:tr w:rsidR="00D70C68" w:rsidRPr="005878FA" w14:paraId="1FCCC2DF"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auto"/>
            <w:noWrap/>
          </w:tcPr>
          <w:p w14:paraId="1D023F5B" w14:textId="7D758ED3" w:rsidR="00D70C68" w:rsidRPr="005878FA" w:rsidRDefault="00D70C68" w:rsidP="00D70C68">
            <w:pPr>
              <w:rPr>
                <w:rFonts w:eastAsiaTheme="minorHAnsi" w:cs="Arial"/>
                <w:sz w:val="22"/>
                <w:szCs w:val="22"/>
                <w:lang w:eastAsia="en-US"/>
              </w:rPr>
            </w:pPr>
            <w:r>
              <w:rPr>
                <w:rFonts w:cs="Arial"/>
                <w:color w:val="000000" w:themeColor="text1"/>
                <w:szCs w:val="20"/>
              </w:rPr>
              <w:t>Gaveteiro Madeira 0,42m x 0,5m x 0,60m</w:t>
            </w:r>
          </w:p>
        </w:tc>
        <w:tc>
          <w:tcPr>
            <w:tcW w:w="1275" w:type="dxa"/>
            <w:tcBorders>
              <w:top w:val="nil"/>
              <w:left w:val="nil"/>
              <w:bottom w:val="single" w:sz="8" w:space="0" w:color="auto"/>
              <w:right w:val="single" w:sz="4" w:space="0" w:color="auto"/>
            </w:tcBorders>
            <w:noWrap/>
          </w:tcPr>
          <w:p w14:paraId="7A453962" w14:textId="2CCF1360" w:rsidR="00D70C68" w:rsidRPr="005878FA" w:rsidRDefault="00D70C68" w:rsidP="00D70C68">
            <w:pPr>
              <w:jc w:val="center"/>
              <w:rPr>
                <w:rFonts w:eastAsiaTheme="minorHAnsi" w:cs="Arial"/>
                <w:sz w:val="22"/>
                <w:szCs w:val="22"/>
                <w:lang w:eastAsia="en-US"/>
              </w:rPr>
            </w:pPr>
            <w:r>
              <w:rPr>
                <w:rFonts w:cs="Arial"/>
                <w:color w:val="000000" w:themeColor="text1"/>
                <w:szCs w:val="20"/>
              </w:rPr>
              <w:t>337,96</w:t>
            </w:r>
          </w:p>
        </w:tc>
        <w:tc>
          <w:tcPr>
            <w:tcW w:w="851" w:type="dxa"/>
            <w:tcBorders>
              <w:top w:val="nil"/>
              <w:left w:val="single" w:sz="4" w:space="0" w:color="auto"/>
              <w:bottom w:val="single" w:sz="8" w:space="0" w:color="auto"/>
              <w:right w:val="single" w:sz="8" w:space="0" w:color="auto"/>
            </w:tcBorders>
            <w:shd w:val="clear" w:color="auto" w:fill="auto"/>
            <w:noWrap/>
          </w:tcPr>
          <w:p w14:paraId="4CB74EB3" w14:textId="589D44DE" w:rsidR="00D70C68" w:rsidRPr="005878FA" w:rsidRDefault="00D70C68" w:rsidP="00D70C68">
            <w:pPr>
              <w:jc w:val="center"/>
              <w:rPr>
                <w:rFonts w:eastAsiaTheme="minorHAnsi" w:cs="Arial"/>
                <w:sz w:val="22"/>
                <w:szCs w:val="22"/>
                <w:lang w:eastAsia="en-US"/>
              </w:rPr>
            </w:pPr>
            <w:r>
              <w:rPr>
                <w:rFonts w:cs="Arial"/>
                <w:color w:val="000000" w:themeColor="text1"/>
                <w:szCs w:val="20"/>
              </w:rPr>
              <w:t>10</w:t>
            </w:r>
          </w:p>
        </w:tc>
        <w:tc>
          <w:tcPr>
            <w:tcW w:w="1276" w:type="dxa"/>
            <w:tcBorders>
              <w:top w:val="nil"/>
              <w:left w:val="nil"/>
              <w:bottom w:val="single" w:sz="4" w:space="0" w:color="000000"/>
              <w:right w:val="single" w:sz="4" w:space="0" w:color="auto"/>
            </w:tcBorders>
            <w:shd w:val="clear" w:color="FFFFFF" w:fill="FFFFFF"/>
            <w:noWrap/>
          </w:tcPr>
          <w:p w14:paraId="2F530AA9" w14:textId="71203835" w:rsidR="00D70C68" w:rsidRPr="005878FA" w:rsidRDefault="00D70C68" w:rsidP="00D70C68">
            <w:pPr>
              <w:jc w:val="center"/>
              <w:rPr>
                <w:rFonts w:eastAsiaTheme="minorHAnsi" w:cs="Arial"/>
                <w:sz w:val="22"/>
                <w:szCs w:val="22"/>
                <w:lang w:eastAsia="en-US"/>
              </w:rPr>
            </w:pPr>
            <w:r>
              <w:rPr>
                <w:rFonts w:cs="Arial"/>
                <w:color w:val="000000" w:themeColor="text1"/>
                <w:szCs w:val="20"/>
              </w:rPr>
              <w:t>3.379,60</w:t>
            </w:r>
          </w:p>
        </w:tc>
      </w:tr>
      <w:tr w:rsidR="00D70C68" w:rsidRPr="005878FA" w14:paraId="2306C024"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auto"/>
            <w:noWrap/>
          </w:tcPr>
          <w:p w14:paraId="0D5CB7D0" w14:textId="21F536A8" w:rsidR="00D70C68" w:rsidRPr="005878FA" w:rsidRDefault="00D70C68" w:rsidP="00D70C68">
            <w:pPr>
              <w:rPr>
                <w:rFonts w:eastAsiaTheme="minorHAnsi" w:cs="Arial"/>
                <w:sz w:val="22"/>
                <w:szCs w:val="22"/>
                <w:lang w:eastAsia="en-US"/>
              </w:rPr>
            </w:pPr>
            <w:r>
              <w:rPr>
                <w:rFonts w:cs="Arial"/>
                <w:color w:val="000000" w:themeColor="text1"/>
                <w:szCs w:val="20"/>
              </w:rPr>
              <w:t>Fragmentadora de Papel Royal SC 140</w:t>
            </w:r>
          </w:p>
        </w:tc>
        <w:tc>
          <w:tcPr>
            <w:tcW w:w="1275" w:type="dxa"/>
            <w:tcBorders>
              <w:top w:val="nil"/>
              <w:left w:val="nil"/>
              <w:bottom w:val="single" w:sz="8" w:space="0" w:color="auto"/>
              <w:right w:val="single" w:sz="4" w:space="0" w:color="auto"/>
            </w:tcBorders>
            <w:noWrap/>
          </w:tcPr>
          <w:p w14:paraId="39044F06" w14:textId="1F2714F5" w:rsidR="00D70C68" w:rsidRPr="005878FA" w:rsidRDefault="00D70C68" w:rsidP="00D70C68">
            <w:pPr>
              <w:jc w:val="center"/>
              <w:rPr>
                <w:rFonts w:eastAsiaTheme="minorHAnsi" w:cs="Arial"/>
                <w:sz w:val="22"/>
                <w:szCs w:val="22"/>
                <w:lang w:eastAsia="en-US"/>
              </w:rPr>
            </w:pPr>
            <w:r>
              <w:rPr>
                <w:rFonts w:cs="Arial"/>
                <w:color w:val="000000" w:themeColor="text1"/>
                <w:szCs w:val="20"/>
              </w:rPr>
              <w:t>500,00</w:t>
            </w:r>
          </w:p>
        </w:tc>
        <w:tc>
          <w:tcPr>
            <w:tcW w:w="851" w:type="dxa"/>
            <w:tcBorders>
              <w:top w:val="nil"/>
              <w:left w:val="single" w:sz="4" w:space="0" w:color="auto"/>
              <w:bottom w:val="single" w:sz="8" w:space="0" w:color="auto"/>
              <w:right w:val="single" w:sz="8" w:space="0" w:color="auto"/>
            </w:tcBorders>
            <w:shd w:val="clear" w:color="auto" w:fill="auto"/>
            <w:noWrap/>
          </w:tcPr>
          <w:p w14:paraId="75587650" w14:textId="2467E24D" w:rsidR="00D70C68" w:rsidRPr="005878FA" w:rsidRDefault="00D70C68" w:rsidP="00D70C68">
            <w:pPr>
              <w:jc w:val="center"/>
              <w:rPr>
                <w:rFonts w:eastAsiaTheme="minorHAnsi" w:cs="Arial"/>
                <w:sz w:val="22"/>
                <w:szCs w:val="22"/>
                <w:lang w:eastAsia="en-US"/>
              </w:rPr>
            </w:pPr>
            <w:r>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5DBFD2CC" w14:textId="7C193B11" w:rsidR="00D70C68" w:rsidRPr="005878FA" w:rsidRDefault="00D70C68" w:rsidP="00D70C68">
            <w:pPr>
              <w:jc w:val="center"/>
              <w:rPr>
                <w:rFonts w:eastAsiaTheme="minorHAnsi" w:cs="Arial"/>
                <w:sz w:val="22"/>
                <w:szCs w:val="22"/>
                <w:lang w:eastAsia="en-US"/>
              </w:rPr>
            </w:pPr>
            <w:r>
              <w:rPr>
                <w:rFonts w:cs="Arial"/>
                <w:color w:val="000000" w:themeColor="text1"/>
                <w:szCs w:val="20"/>
              </w:rPr>
              <w:t>500,00</w:t>
            </w:r>
          </w:p>
        </w:tc>
      </w:tr>
      <w:tr w:rsidR="00D70C68" w:rsidRPr="005878FA" w14:paraId="0CAE6640"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auto"/>
            <w:noWrap/>
          </w:tcPr>
          <w:p w14:paraId="5505EB5C" w14:textId="573E8433" w:rsidR="00D70C68" w:rsidRPr="005878FA" w:rsidRDefault="00D70C68" w:rsidP="00D70C68">
            <w:pPr>
              <w:rPr>
                <w:rFonts w:eastAsiaTheme="minorHAnsi" w:cs="Arial"/>
                <w:sz w:val="22"/>
                <w:szCs w:val="22"/>
                <w:lang w:eastAsia="en-US"/>
              </w:rPr>
            </w:pPr>
            <w:r>
              <w:rPr>
                <w:rFonts w:cs="Arial"/>
                <w:color w:val="000000" w:themeColor="text1"/>
                <w:szCs w:val="20"/>
              </w:rPr>
              <w:t>Codec Videoconferência Câmera Polycon</w:t>
            </w:r>
          </w:p>
        </w:tc>
        <w:tc>
          <w:tcPr>
            <w:tcW w:w="1275" w:type="dxa"/>
            <w:tcBorders>
              <w:top w:val="nil"/>
              <w:left w:val="nil"/>
              <w:bottom w:val="single" w:sz="8" w:space="0" w:color="auto"/>
              <w:right w:val="single" w:sz="4" w:space="0" w:color="auto"/>
            </w:tcBorders>
            <w:noWrap/>
          </w:tcPr>
          <w:p w14:paraId="5F2310CC" w14:textId="395BAEA1" w:rsidR="00D70C68" w:rsidRPr="005878FA" w:rsidRDefault="00D70C68" w:rsidP="00D70C68">
            <w:pPr>
              <w:jc w:val="center"/>
              <w:rPr>
                <w:rFonts w:eastAsiaTheme="minorHAnsi" w:cs="Arial"/>
                <w:sz w:val="22"/>
                <w:szCs w:val="22"/>
                <w:lang w:eastAsia="en-US"/>
              </w:rPr>
            </w:pPr>
            <w:r>
              <w:rPr>
                <w:rFonts w:cs="Arial"/>
                <w:color w:val="000000" w:themeColor="text1"/>
                <w:szCs w:val="20"/>
              </w:rPr>
              <w:t>10.625,48</w:t>
            </w:r>
          </w:p>
        </w:tc>
        <w:tc>
          <w:tcPr>
            <w:tcW w:w="851" w:type="dxa"/>
            <w:tcBorders>
              <w:top w:val="nil"/>
              <w:left w:val="single" w:sz="4" w:space="0" w:color="auto"/>
              <w:bottom w:val="single" w:sz="8" w:space="0" w:color="auto"/>
              <w:right w:val="single" w:sz="8" w:space="0" w:color="auto"/>
            </w:tcBorders>
            <w:shd w:val="clear" w:color="auto" w:fill="auto"/>
            <w:noWrap/>
          </w:tcPr>
          <w:p w14:paraId="5F483CEC" w14:textId="40615BCB" w:rsidR="00D70C68" w:rsidRPr="005878FA" w:rsidRDefault="00D70C68" w:rsidP="00D70C68">
            <w:pPr>
              <w:jc w:val="center"/>
              <w:rPr>
                <w:rFonts w:eastAsiaTheme="minorHAnsi" w:cs="Arial"/>
                <w:sz w:val="22"/>
                <w:szCs w:val="22"/>
                <w:lang w:eastAsia="en-US"/>
              </w:rPr>
            </w:pPr>
            <w:r>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71560944" w14:textId="6EFBF814" w:rsidR="00D70C68" w:rsidRPr="005878FA" w:rsidRDefault="00D70C68" w:rsidP="00D70C68">
            <w:pPr>
              <w:jc w:val="center"/>
              <w:rPr>
                <w:rFonts w:eastAsiaTheme="minorHAnsi" w:cs="Arial"/>
                <w:sz w:val="22"/>
                <w:szCs w:val="22"/>
                <w:lang w:eastAsia="en-US"/>
              </w:rPr>
            </w:pPr>
            <w:r>
              <w:rPr>
                <w:rFonts w:cs="Arial"/>
                <w:color w:val="000000" w:themeColor="text1"/>
                <w:szCs w:val="20"/>
              </w:rPr>
              <w:t>10.625,48</w:t>
            </w:r>
          </w:p>
        </w:tc>
      </w:tr>
      <w:tr w:rsidR="00D70C68" w:rsidRPr="005878FA" w14:paraId="36EA8C14"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19955222" w14:textId="32EFC02E" w:rsidR="00D70C68" w:rsidRPr="005878FA" w:rsidRDefault="00D70C68" w:rsidP="00D70C68">
            <w:pPr>
              <w:rPr>
                <w:rFonts w:eastAsiaTheme="minorHAnsi" w:cs="Arial"/>
                <w:sz w:val="22"/>
                <w:szCs w:val="22"/>
                <w:lang w:eastAsia="en-US"/>
              </w:rPr>
            </w:pPr>
            <w:r w:rsidRPr="00103608">
              <w:rPr>
                <w:rFonts w:cs="Arial"/>
                <w:color w:val="000000" w:themeColor="text1"/>
                <w:szCs w:val="20"/>
              </w:rPr>
              <w:t>Ar Condicionado Split 18</w:t>
            </w:r>
            <w:r w:rsidR="004274BD">
              <w:rPr>
                <w:rFonts w:cs="Arial"/>
                <w:color w:val="000000" w:themeColor="text1"/>
                <w:szCs w:val="20"/>
              </w:rPr>
              <w:t>0</w:t>
            </w:r>
            <w:r w:rsidRPr="00103608">
              <w:rPr>
                <w:rFonts w:cs="Arial"/>
                <w:color w:val="000000" w:themeColor="text1"/>
                <w:szCs w:val="20"/>
              </w:rPr>
              <w:t>00 BTUS</w:t>
            </w:r>
          </w:p>
        </w:tc>
        <w:tc>
          <w:tcPr>
            <w:tcW w:w="1275" w:type="dxa"/>
            <w:tcBorders>
              <w:top w:val="nil"/>
              <w:left w:val="nil"/>
              <w:bottom w:val="single" w:sz="8" w:space="0" w:color="auto"/>
              <w:right w:val="single" w:sz="4" w:space="0" w:color="auto"/>
            </w:tcBorders>
            <w:shd w:val="clear" w:color="auto" w:fill="FFFFFF" w:themeFill="background1"/>
            <w:noWrap/>
          </w:tcPr>
          <w:p w14:paraId="107CB4A0" w14:textId="0D47361A" w:rsidR="00D70C68" w:rsidRPr="005878FA" w:rsidRDefault="00D70C68" w:rsidP="00D70C68">
            <w:pPr>
              <w:jc w:val="center"/>
              <w:rPr>
                <w:rFonts w:eastAsiaTheme="minorHAnsi" w:cs="Arial"/>
                <w:sz w:val="22"/>
                <w:szCs w:val="22"/>
                <w:lang w:eastAsia="en-US"/>
              </w:rPr>
            </w:pPr>
            <w:r w:rsidRPr="00103608">
              <w:rPr>
                <w:rFonts w:cs="Arial"/>
                <w:color w:val="000000" w:themeColor="text1"/>
                <w:szCs w:val="20"/>
              </w:rPr>
              <w:t>1.647,00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1B2A2289" w14:textId="720B60F2" w:rsidR="00D70C68" w:rsidRPr="005878FA" w:rsidRDefault="00D70C68" w:rsidP="00D70C68">
            <w:pPr>
              <w:jc w:val="center"/>
              <w:rPr>
                <w:rFonts w:eastAsiaTheme="minorHAnsi" w:cs="Arial"/>
                <w:sz w:val="22"/>
                <w:szCs w:val="22"/>
                <w:lang w:eastAsia="en-US"/>
              </w:rPr>
            </w:pPr>
            <w:r w:rsidRPr="00103608">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3A7BB564" w14:textId="53690FAD" w:rsidR="00D70C68" w:rsidRPr="005878FA" w:rsidRDefault="00D70C68" w:rsidP="00D70C68">
            <w:pPr>
              <w:jc w:val="center"/>
              <w:rPr>
                <w:rFonts w:eastAsiaTheme="minorHAnsi" w:cs="Arial"/>
                <w:sz w:val="22"/>
                <w:szCs w:val="22"/>
                <w:lang w:eastAsia="en-US"/>
              </w:rPr>
            </w:pPr>
            <w:r w:rsidRPr="00103608">
              <w:rPr>
                <w:rFonts w:cs="Arial"/>
                <w:color w:val="000000" w:themeColor="text1"/>
                <w:szCs w:val="20"/>
              </w:rPr>
              <w:t>1.647,00</w:t>
            </w:r>
          </w:p>
        </w:tc>
      </w:tr>
      <w:tr w:rsidR="00D70C68" w:rsidRPr="005878FA" w14:paraId="4AA8CDA9"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5F0CB16E" w14:textId="23314AA3" w:rsidR="00D70C68" w:rsidRPr="005878FA" w:rsidRDefault="00D70C68" w:rsidP="00D70C68">
            <w:pPr>
              <w:rPr>
                <w:rFonts w:eastAsiaTheme="minorHAnsi" w:cs="Arial"/>
                <w:sz w:val="22"/>
                <w:szCs w:val="22"/>
                <w:lang w:eastAsia="en-US"/>
              </w:rPr>
            </w:pPr>
            <w:r>
              <w:rPr>
                <w:rStyle w:val="acopre"/>
              </w:rPr>
              <w:t xml:space="preserve">Impressora Multifuncional Color </w:t>
            </w:r>
            <w:r>
              <w:rPr>
                <w:rStyle w:val="nfase"/>
              </w:rPr>
              <w:t>Samsung</w:t>
            </w:r>
          </w:p>
        </w:tc>
        <w:tc>
          <w:tcPr>
            <w:tcW w:w="1275" w:type="dxa"/>
            <w:tcBorders>
              <w:top w:val="nil"/>
              <w:left w:val="nil"/>
              <w:bottom w:val="single" w:sz="8" w:space="0" w:color="auto"/>
              <w:right w:val="single" w:sz="4" w:space="0" w:color="auto"/>
            </w:tcBorders>
            <w:shd w:val="clear" w:color="auto" w:fill="FFFFFF" w:themeFill="background1"/>
            <w:noWrap/>
          </w:tcPr>
          <w:p w14:paraId="04FFC4D2" w14:textId="7FF32E3A" w:rsidR="00D70C68" w:rsidRPr="005878FA" w:rsidRDefault="00D70C68" w:rsidP="00D70C68">
            <w:pPr>
              <w:jc w:val="center"/>
              <w:rPr>
                <w:rFonts w:eastAsiaTheme="minorHAnsi" w:cs="Arial"/>
                <w:sz w:val="22"/>
                <w:szCs w:val="22"/>
                <w:lang w:eastAsia="en-US"/>
              </w:rPr>
            </w:pPr>
            <w:r>
              <w:rPr>
                <w:rFonts w:cs="Arial"/>
                <w:color w:val="000000" w:themeColor="text1"/>
                <w:szCs w:val="20"/>
              </w:rPr>
              <w:t>4.939,57</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632E696E" w14:textId="39931AD3" w:rsidR="00D70C68" w:rsidRPr="005878FA" w:rsidRDefault="00D70C68" w:rsidP="00D70C68">
            <w:pPr>
              <w:jc w:val="center"/>
              <w:rPr>
                <w:rFonts w:eastAsiaTheme="minorHAnsi" w:cs="Arial"/>
                <w:sz w:val="22"/>
                <w:szCs w:val="22"/>
                <w:lang w:eastAsia="en-US"/>
              </w:rPr>
            </w:pPr>
            <w:r>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068F8332" w14:textId="008B35CB" w:rsidR="00D70C68" w:rsidRPr="005878FA" w:rsidRDefault="00D70C68" w:rsidP="00D70C68">
            <w:pPr>
              <w:jc w:val="center"/>
              <w:rPr>
                <w:rFonts w:eastAsiaTheme="minorHAnsi" w:cs="Arial"/>
                <w:sz w:val="22"/>
                <w:szCs w:val="22"/>
                <w:lang w:eastAsia="en-US"/>
              </w:rPr>
            </w:pPr>
            <w:r w:rsidRPr="00034B80">
              <w:rPr>
                <w:rFonts w:cs="Arial"/>
                <w:szCs w:val="20"/>
              </w:rPr>
              <w:t>4.939,57</w:t>
            </w:r>
          </w:p>
        </w:tc>
      </w:tr>
      <w:tr w:rsidR="00D70C68" w:rsidRPr="005878FA" w14:paraId="6531A790" w14:textId="77777777" w:rsidTr="00BC3F5B">
        <w:trPr>
          <w:trHeight w:val="276"/>
        </w:trPr>
        <w:tc>
          <w:tcPr>
            <w:tcW w:w="4957" w:type="dxa"/>
            <w:tcBorders>
              <w:top w:val="nil"/>
              <w:left w:val="single" w:sz="8" w:space="0" w:color="auto"/>
              <w:bottom w:val="single" w:sz="8" w:space="0" w:color="auto"/>
              <w:right w:val="single" w:sz="8" w:space="0" w:color="auto"/>
            </w:tcBorders>
            <w:noWrap/>
          </w:tcPr>
          <w:p w14:paraId="48E6A496" w14:textId="3509138D" w:rsidR="00D70C68" w:rsidRPr="005878FA" w:rsidRDefault="00D70C68" w:rsidP="00D70C68">
            <w:pPr>
              <w:rPr>
                <w:rFonts w:eastAsiaTheme="minorHAnsi" w:cs="Arial"/>
                <w:sz w:val="22"/>
                <w:szCs w:val="22"/>
                <w:lang w:eastAsia="en-US"/>
              </w:rPr>
            </w:pPr>
            <w:r>
              <w:rPr>
                <w:rFonts w:cs="Arial"/>
                <w:color w:val="000000" w:themeColor="text1"/>
                <w:szCs w:val="20"/>
              </w:rPr>
              <w:t>Gabinete de metal para Impressora</w:t>
            </w:r>
          </w:p>
        </w:tc>
        <w:tc>
          <w:tcPr>
            <w:tcW w:w="1275" w:type="dxa"/>
            <w:tcBorders>
              <w:top w:val="nil"/>
              <w:left w:val="nil"/>
              <w:bottom w:val="single" w:sz="8" w:space="0" w:color="auto"/>
              <w:right w:val="single" w:sz="4" w:space="0" w:color="auto"/>
            </w:tcBorders>
            <w:noWrap/>
          </w:tcPr>
          <w:p w14:paraId="5344E050" w14:textId="2F415C69" w:rsidR="00D70C68" w:rsidRPr="005878FA" w:rsidRDefault="00D70C68" w:rsidP="00D70C68">
            <w:pPr>
              <w:jc w:val="center"/>
              <w:rPr>
                <w:rFonts w:eastAsiaTheme="minorHAnsi" w:cs="Arial"/>
                <w:sz w:val="22"/>
                <w:szCs w:val="22"/>
                <w:lang w:eastAsia="en-US"/>
              </w:rPr>
            </w:pPr>
            <w:r>
              <w:rPr>
                <w:rFonts w:cs="Arial"/>
                <w:color w:val="000000" w:themeColor="text1"/>
                <w:szCs w:val="20"/>
              </w:rPr>
              <w:t>324,05</w:t>
            </w:r>
          </w:p>
        </w:tc>
        <w:tc>
          <w:tcPr>
            <w:tcW w:w="851" w:type="dxa"/>
            <w:tcBorders>
              <w:top w:val="nil"/>
              <w:left w:val="single" w:sz="4" w:space="0" w:color="auto"/>
              <w:bottom w:val="single" w:sz="8" w:space="0" w:color="auto"/>
              <w:right w:val="single" w:sz="8" w:space="0" w:color="auto"/>
            </w:tcBorders>
            <w:noWrap/>
          </w:tcPr>
          <w:p w14:paraId="145E4464" w14:textId="5B78F4AE" w:rsidR="00D70C68" w:rsidRPr="005878FA" w:rsidRDefault="00D70C68" w:rsidP="00D70C68">
            <w:pPr>
              <w:jc w:val="center"/>
              <w:rPr>
                <w:rFonts w:eastAsiaTheme="minorHAnsi" w:cs="Arial"/>
                <w:sz w:val="22"/>
                <w:szCs w:val="22"/>
                <w:lang w:eastAsia="en-US"/>
              </w:rPr>
            </w:pPr>
            <w:r>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7F72764F" w14:textId="779B6D55" w:rsidR="00D70C68" w:rsidRPr="005878FA" w:rsidRDefault="00D70C68" w:rsidP="00D70C68">
            <w:pPr>
              <w:jc w:val="center"/>
              <w:rPr>
                <w:rFonts w:eastAsiaTheme="minorHAnsi" w:cs="Arial"/>
                <w:sz w:val="22"/>
                <w:szCs w:val="22"/>
                <w:lang w:eastAsia="en-US"/>
              </w:rPr>
            </w:pPr>
            <w:r>
              <w:rPr>
                <w:rFonts w:cs="Arial"/>
                <w:color w:val="000000" w:themeColor="text1"/>
                <w:szCs w:val="20"/>
              </w:rPr>
              <w:t>324,05</w:t>
            </w:r>
          </w:p>
        </w:tc>
      </w:tr>
      <w:tr w:rsidR="00D70C68" w:rsidRPr="005878FA" w14:paraId="58C264E2"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3CF62AAF" w14:textId="383FD4E0" w:rsidR="00D70C68" w:rsidRPr="005878FA" w:rsidRDefault="00D70C68" w:rsidP="00D70C68">
            <w:pPr>
              <w:rPr>
                <w:rFonts w:eastAsiaTheme="minorHAnsi" w:cs="Arial"/>
                <w:sz w:val="22"/>
                <w:szCs w:val="22"/>
                <w:lang w:eastAsia="en-US"/>
              </w:rPr>
            </w:pPr>
            <w:r>
              <w:rPr>
                <w:rFonts w:cs="Arial"/>
                <w:color w:val="000000" w:themeColor="text1"/>
                <w:szCs w:val="20"/>
              </w:rPr>
              <w:t>Estabilizador para Impressora - No Break</w:t>
            </w:r>
          </w:p>
        </w:tc>
        <w:tc>
          <w:tcPr>
            <w:tcW w:w="1275" w:type="dxa"/>
            <w:tcBorders>
              <w:top w:val="nil"/>
              <w:left w:val="nil"/>
              <w:bottom w:val="single" w:sz="8" w:space="0" w:color="auto"/>
              <w:right w:val="single" w:sz="4" w:space="0" w:color="auto"/>
            </w:tcBorders>
            <w:shd w:val="clear" w:color="auto" w:fill="FFFFFF" w:themeFill="background1"/>
            <w:noWrap/>
          </w:tcPr>
          <w:p w14:paraId="4AD06094" w14:textId="1C85405E" w:rsidR="00D70C68" w:rsidRPr="005878FA" w:rsidRDefault="00840B22" w:rsidP="00D70C68">
            <w:pPr>
              <w:jc w:val="center"/>
              <w:rPr>
                <w:rFonts w:eastAsiaTheme="minorHAnsi" w:cs="Arial"/>
                <w:sz w:val="22"/>
                <w:szCs w:val="22"/>
                <w:lang w:eastAsia="en-US"/>
              </w:rPr>
            </w:pPr>
            <w:r>
              <w:rPr>
                <w:rFonts w:cs="Arial"/>
                <w:color w:val="000000" w:themeColor="text1"/>
                <w:szCs w:val="20"/>
              </w:rPr>
              <w:t>150,00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3715E1E9" w14:textId="4A4FA3DB"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5D8880CF" w14:textId="20BE45C0" w:rsidR="00D70C68" w:rsidRPr="005878FA" w:rsidRDefault="00D70C68" w:rsidP="00D70C68">
            <w:pPr>
              <w:jc w:val="center"/>
              <w:rPr>
                <w:rFonts w:eastAsiaTheme="minorHAnsi" w:cs="Arial"/>
                <w:sz w:val="22"/>
                <w:szCs w:val="22"/>
                <w:lang w:eastAsia="en-US"/>
              </w:rPr>
            </w:pPr>
            <w:r w:rsidRPr="00194581">
              <w:rPr>
                <w:rFonts w:cs="Arial"/>
                <w:szCs w:val="20"/>
              </w:rPr>
              <w:t>150,00</w:t>
            </w:r>
          </w:p>
        </w:tc>
      </w:tr>
      <w:tr w:rsidR="00D70C68" w:rsidRPr="005878FA" w14:paraId="790DABF6"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34A50A38" w14:textId="03D66840" w:rsidR="00D70C68" w:rsidRPr="005878FA" w:rsidRDefault="00D70C68" w:rsidP="00D70C68">
            <w:pPr>
              <w:rPr>
                <w:rFonts w:eastAsiaTheme="minorHAnsi" w:cs="Arial"/>
                <w:sz w:val="22"/>
                <w:szCs w:val="22"/>
                <w:lang w:eastAsia="en-US"/>
              </w:rPr>
            </w:pPr>
            <w:r>
              <w:rPr>
                <w:rFonts w:cs="Arial"/>
                <w:color w:val="000000" w:themeColor="text1"/>
                <w:szCs w:val="20"/>
              </w:rPr>
              <w:t>Base de Mastro com 2 furos</w:t>
            </w:r>
          </w:p>
        </w:tc>
        <w:tc>
          <w:tcPr>
            <w:tcW w:w="1275" w:type="dxa"/>
            <w:tcBorders>
              <w:top w:val="nil"/>
              <w:left w:val="nil"/>
              <w:bottom w:val="single" w:sz="8" w:space="0" w:color="auto"/>
              <w:right w:val="single" w:sz="4" w:space="0" w:color="auto"/>
            </w:tcBorders>
            <w:shd w:val="clear" w:color="auto" w:fill="FFFFFF" w:themeFill="background1"/>
            <w:noWrap/>
          </w:tcPr>
          <w:p w14:paraId="3A85D133" w14:textId="2ECB166E" w:rsidR="00D70C68" w:rsidRPr="005878FA" w:rsidRDefault="00D70C68" w:rsidP="00D70C68">
            <w:pPr>
              <w:jc w:val="center"/>
              <w:rPr>
                <w:rFonts w:eastAsiaTheme="minorHAnsi" w:cs="Arial"/>
                <w:sz w:val="22"/>
                <w:szCs w:val="22"/>
                <w:lang w:eastAsia="en-US"/>
              </w:rPr>
            </w:pPr>
            <w:r>
              <w:rPr>
                <w:rFonts w:cs="Arial"/>
                <w:color w:val="000000" w:themeColor="text1"/>
                <w:szCs w:val="20"/>
              </w:rPr>
              <w:t>232,90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3AB7569D" w14:textId="6C4DF0EE"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26828AA5" w14:textId="3E869D1C" w:rsidR="00D70C68" w:rsidRPr="005878FA" w:rsidRDefault="00D70C68" w:rsidP="00D70C68">
            <w:pPr>
              <w:jc w:val="center"/>
              <w:rPr>
                <w:rFonts w:eastAsiaTheme="minorHAnsi" w:cs="Arial"/>
                <w:sz w:val="22"/>
                <w:szCs w:val="22"/>
                <w:lang w:eastAsia="en-US"/>
              </w:rPr>
            </w:pPr>
            <w:r>
              <w:rPr>
                <w:rFonts w:cs="Arial"/>
                <w:color w:val="000000" w:themeColor="text1"/>
                <w:szCs w:val="20"/>
              </w:rPr>
              <w:t>232,90</w:t>
            </w:r>
          </w:p>
        </w:tc>
      </w:tr>
      <w:tr w:rsidR="00D70C68" w:rsidRPr="005878FA" w14:paraId="4D7432B2"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1C8AFC46" w14:textId="536A0EAE" w:rsidR="00D70C68" w:rsidRPr="005878FA" w:rsidRDefault="00D70C68" w:rsidP="00D70C68">
            <w:pPr>
              <w:rPr>
                <w:rFonts w:eastAsiaTheme="minorHAnsi" w:cs="Arial"/>
                <w:sz w:val="22"/>
                <w:szCs w:val="22"/>
                <w:lang w:eastAsia="en-US"/>
              </w:rPr>
            </w:pPr>
            <w:r>
              <w:rPr>
                <w:rFonts w:cs="Arial"/>
                <w:color w:val="000000" w:themeColor="text1"/>
                <w:szCs w:val="20"/>
              </w:rPr>
              <w:t>Mastro de Bandeira</w:t>
            </w:r>
          </w:p>
        </w:tc>
        <w:tc>
          <w:tcPr>
            <w:tcW w:w="1275" w:type="dxa"/>
            <w:tcBorders>
              <w:top w:val="nil"/>
              <w:left w:val="nil"/>
              <w:bottom w:val="single" w:sz="8" w:space="0" w:color="auto"/>
              <w:right w:val="single" w:sz="4" w:space="0" w:color="auto"/>
            </w:tcBorders>
            <w:shd w:val="clear" w:color="auto" w:fill="FFFFFF" w:themeFill="background1"/>
            <w:noWrap/>
          </w:tcPr>
          <w:p w14:paraId="1AFCBF4E" w14:textId="4028567F" w:rsidR="00D70C68" w:rsidRPr="005878FA" w:rsidRDefault="00D70C68" w:rsidP="00D70C68">
            <w:pPr>
              <w:jc w:val="center"/>
              <w:rPr>
                <w:rFonts w:eastAsiaTheme="minorHAnsi" w:cs="Arial"/>
                <w:sz w:val="22"/>
                <w:szCs w:val="22"/>
                <w:lang w:eastAsia="en-US"/>
              </w:rPr>
            </w:pPr>
            <w:r>
              <w:rPr>
                <w:rFonts w:cs="Arial"/>
                <w:color w:val="000000" w:themeColor="text1"/>
                <w:szCs w:val="20"/>
              </w:rPr>
              <w:t>156,00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6D43DDD0" w14:textId="0520DBA4" w:rsidR="00D70C68" w:rsidRPr="005878FA" w:rsidRDefault="00D70C68" w:rsidP="00D70C68">
            <w:pPr>
              <w:jc w:val="center"/>
              <w:rPr>
                <w:rFonts w:eastAsiaTheme="minorHAnsi" w:cs="Arial"/>
                <w:sz w:val="22"/>
                <w:szCs w:val="22"/>
                <w:lang w:eastAsia="en-US"/>
              </w:rPr>
            </w:pPr>
            <w:r>
              <w:rPr>
                <w:rFonts w:cs="Arial"/>
                <w:color w:val="000000" w:themeColor="text1"/>
                <w:szCs w:val="20"/>
              </w:rPr>
              <w:t>2</w:t>
            </w:r>
          </w:p>
        </w:tc>
        <w:tc>
          <w:tcPr>
            <w:tcW w:w="1276" w:type="dxa"/>
            <w:tcBorders>
              <w:top w:val="nil"/>
              <w:left w:val="nil"/>
              <w:bottom w:val="single" w:sz="4" w:space="0" w:color="000000"/>
              <w:right w:val="single" w:sz="4" w:space="0" w:color="auto"/>
            </w:tcBorders>
            <w:shd w:val="clear" w:color="FFFFFF" w:fill="FFFFFF"/>
            <w:noWrap/>
          </w:tcPr>
          <w:p w14:paraId="5FA16388" w14:textId="4D460427" w:rsidR="00D70C68" w:rsidRPr="005878FA" w:rsidRDefault="00D70C68" w:rsidP="00D70C68">
            <w:pPr>
              <w:jc w:val="center"/>
              <w:rPr>
                <w:rFonts w:eastAsiaTheme="minorHAnsi" w:cs="Arial"/>
                <w:sz w:val="22"/>
                <w:szCs w:val="22"/>
                <w:lang w:eastAsia="en-US"/>
              </w:rPr>
            </w:pPr>
            <w:r>
              <w:rPr>
                <w:rFonts w:cs="Arial"/>
                <w:color w:val="000000" w:themeColor="text1"/>
                <w:szCs w:val="20"/>
              </w:rPr>
              <w:t>312,00</w:t>
            </w:r>
          </w:p>
        </w:tc>
      </w:tr>
      <w:tr w:rsidR="00D70C68" w:rsidRPr="005878FA" w14:paraId="2D52B8A9"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7DC9ABC7" w14:textId="26C2023A" w:rsidR="00D70C68" w:rsidRPr="005878FA" w:rsidRDefault="00D70C68" w:rsidP="00D70C68">
            <w:pPr>
              <w:rPr>
                <w:rFonts w:eastAsiaTheme="minorHAnsi" w:cs="Arial"/>
                <w:sz w:val="22"/>
                <w:szCs w:val="22"/>
                <w:lang w:eastAsia="en-US"/>
              </w:rPr>
            </w:pPr>
            <w:r w:rsidRPr="001E2149">
              <w:rPr>
                <w:rFonts w:cs="Arial"/>
                <w:color w:val="000000" w:themeColor="text1"/>
                <w:szCs w:val="20"/>
              </w:rPr>
              <w:t>Scanner de Mesa Kodak</w:t>
            </w:r>
          </w:p>
        </w:tc>
        <w:tc>
          <w:tcPr>
            <w:tcW w:w="1275" w:type="dxa"/>
            <w:tcBorders>
              <w:top w:val="nil"/>
              <w:left w:val="nil"/>
              <w:bottom w:val="single" w:sz="8" w:space="0" w:color="auto"/>
              <w:right w:val="single" w:sz="4" w:space="0" w:color="auto"/>
            </w:tcBorders>
            <w:shd w:val="clear" w:color="auto" w:fill="FFFFFF" w:themeFill="background1"/>
            <w:noWrap/>
          </w:tcPr>
          <w:p w14:paraId="3CCFFEAF" w14:textId="668B2C7D" w:rsidR="00D70C68" w:rsidRPr="005878FA" w:rsidRDefault="00D70C68" w:rsidP="00D70C68">
            <w:pPr>
              <w:jc w:val="center"/>
              <w:rPr>
                <w:rFonts w:eastAsiaTheme="minorHAnsi" w:cs="Arial"/>
                <w:sz w:val="22"/>
                <w:szCs w:val="22"/>
                <w:lang w:eastAsia="en-US"/>
              </w:rPr>
            </w:pPr>
            <w:r>
              <w:rPr>
                <w:rFonts w:cs="Arial"/>
                <w:color w:val="000000" w:themeColor="text1"/>
                <w:szCs w:val="20"/>
              </w:rPr>
              <w:t>2.083,33</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126A5020" w14:textId="5896DBBF"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13909938" w14:textId="75C38FFB" w:rsidR="00D70C68" w:rsidRPr="005878FA" w:rsidRDefault="00D70C68" w:rsidP="00D70C68">
            <w:pPr>
              <w:jc w:val="center"/>
              <w:rPr>
                <w:rFonts w:eastAsiaTheme="minorHAnsi" w:cs="Arial"/>
                <w:sz w:val="22"/>
                <w:szCs w:val="22"/>
                <w:lang w:eastAsia="en-US"/>
              </w:rPr>
            </w:pPr>
            <w:r>
              <w:rPr>
                <w:rFonts w:cs="Arial"/>
                <w:color w:val="000000" w:themeColor="text1"/>
                <w:szCs w:val="20"/>
              </w:rPr>
              <w:t>2.083,33</w:t>
            </w:r>
          </w:p>
        </w:tc>
      </w:tr>
      <w:tr w:rsidR="00D70C68" w:rsidRPr="005878FA" w14:paraId="01A976A4"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5982F187" w14:textId="7BDC3CD0" w:rsidR="00D70C68" w:rsidRPr="005878FA" w:rsidRDefault="00D70C68" w:rsidP="00D70C68">
            <w:pPr>
              <w:rPr>
                <w:rFonts w:eastAsiaTheme="minorHAnsi" w:cs="Arial"/>
                <w:sz w:val="22"/>
                <w:szCs w:val="22"/>
                <w:lang w:eastAsia="en-US"/>
              </w:rPr>
            </w:pPr>
            <w:r>
              <w:rPr>
                <w:rFonts w:cs="Arial"/>
                <w:color w:val="000000" w:themeColor="text1"/>
                <w:szCs w:val="20"/>
              </w:rPr>
              <w:t>Cafeteira Preta Britânia</w:t>
            </w:r>
          </w:p>
        </w:tc>
        <w:tc>
          <w:tcPr>
            <w:tcW w:w="1275" w:type="dxa"/>
            <w:tcBorders>
              <w:top w:val="nil"/>
              <w:left w:val="nil"/>
              <w:bottom w:val="single" w:sz="8" w:space="0" w:color="auto"/>
              <w:right w:val="single" w:sz="4" w:space="0" w:color="auto"/>
            </w:tcBorders>
            <w:shd w:val="clear" w:color="auto" w:fill="FFFFFF" w:themeFill="background1"/>
            <w:noWrap/>
          </w:tcPr>
          <w:p w14:paraId="0F78A27C" w14:textId="043695E6" w:rsidR="00D70C68" w:rsidRPr="005878FA" w:rsidRDefault="00D70C68" w:rsidP="00D70C68">
            <w:pPr>
              <w:jc w:val="center"/>
              <w:rPr>
                <w:rFonts w:eastAsiaTheme="minorHAnsi" w:cs="Arial"/>
                <w:sz w:val="22"/>
                <w:szCs w:val="22"/>
                <w:lang w:eastAsia="en-US"/>
              </w:rPr>
            </w:pPr>
            <w:r>
              <w:rPr>
                <w:rFonts w:cs="Arial"/>
                <w:color w:val="000000" w:themeColor="text1"/>
                <w:szCs w:val="20"/>
              </w:rPr>
              <w:t>93,75</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21FE2BBE" w14:textId="2E791EEE"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2EE0D072" w14:textId="0FB831D5" w:rsidR="00D70C68" w:rsidRPr="005878FA" w:rsidRDefault="00D70C68" w:rsidP="00D70C68">
            <w:pPr>
              <w:jc w:val="center"/>
              <w:rPr>
                <w:rFonts w:eastAsiaTheme="minorHAnsi" w:cs="Arial"/>
                <w:sz w:val="22"/>
                <w:szCs w:val="22"/>
                <w:lang w:eastAsia="en-US"/>
              </w:rPr>
            </w:pPr>
            <w:r>
              <w:rPr>
                <w:rFonts w:cs="Arial"/>
                <w:color w:val="000000" w:themeColor="text1"/>
                <w:szCs w:val="20"/>
              </w:rPr>
              <w:t>93,75</w:t>
            </w:r>
          </w:p>
        </w:tc>
      </w:tr>
      <w:tr w:rsidR="00D70C68" w:rsidRPr="005878FA" w14:paraId="42137AF4"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5D392128" w14:textId="4B15FE49" w:rsidR="00D70C68" w:rsidRPr="005878FA" w:rsidRDefault="00D70C68" w:rsidP="00D70C68">
            <w:pPr>
              <w:rPr>
                <w:rFonts w:eastAsiaTheme="minorHAnsi" w:cs="Arial"/>
                <w:sz w:val="22"/>
                <w:szCs w:val="22"/>
                <w:lang w:eastAsia="en-US"/>
              </w:rPr>
            </w:pPr>
            <w:r>
              <w:rPr>
                <w:rFonts w:cs="Arial"/>
                <w:color w:val="000000" w:themeColor="text1"/>
                <w:szCs w:val="20"/>
              </w:rPr>
              <w:t>Forno Micro ondas Philco</w:t>
            </w:r>
          </w:p>
        </w:tc>
        <w:tc>
          <w:tcPr>
            <w:tcW w:w="1275" w:type="dxa"/>
            <w:tcBorders>
              <w:top w:val="nil"/>
              <w:left w:val="nil"/>
              <w:bottom w:val="single" w:sz="8" w:space="0" w:color="auto"/>
              <w:right w:val="single" w:sz="4" w:space="0" w:color="auto"/>
            </w:tcBorders>
            <w:shd w:val="clear" w:color="auto" w:fill="FFFFFF" w:themeFill="background1"/>
            <w:noWrap/>
          </w:tcPr>
          <w:p w14:paraId="73B9E27B" w14:textId="3D214DE7" w:rsidR="00D70C68" w:rsidRPr="005878FA" w:rsidRDefault="00D70C68" w:rsidP="00D70C68">
            <w:pPr>
              <w:jc w:val="center"/>
              <w:rPr>
                <w:rFonts w:eastAsiaTheme="minorHAnsi" w:cs="Arial"/>
                <w:sz w:val="22"/>
                <w:szCs w:val="22"/>
                <w:lang w:eastAsia="en-US"/>
              </w:rPr>
            </w:pPr>
            <w:r>
              <w:rPr>
                <w:rFonts w:cs="Arial"/>
                <w:color w:val="000000" w:themeColor="text1"/>
                <w:szCs w:val="20"/>
              </w:rPr>
              <w:t>273,00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3D328404" w14:textId="77A4638E" w:rsidR="00D70C68" w:rsidRPr="005878FA" w:rsidRDefault="00D70C68" w:rsidP="00D70C68">
            <w:pPr>
              <w:jc w:val="center"/>
              <w:rPr>
                <w:rFonts w:eastAsiaTheme="minorHAnsi" w:cs="Arial"/>
                <w:sz w:val="22"/>
                <w:szCs w:val="22"/>
                <w:lang w:eastAsia="en-US"/>
              </w:rPr>
            </w:pPr>
            <w:r>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55FF66B1" w14:textId="285C7F0A" w:rsidR="00D70C68" w:rsidRPr="005878FA" w:rsidRDefault="00D70C68" w:rsidP="00D70C68">
            <w:pPr>
              <w:jc w:val="center"/>
              <w:rPr>
                <w:rFonts w:eastAsiaTheme="minorHAnsi" w:cs="Arial"/>
                <w:sz w:val="22"/>
                <w:szCs w:val="22"/>
                <w:lang w:eastAsia="en-US"/>
              </w:rPr>
            </w:pPr>
            <w:r>
              <w:rPr>
                <w:rFonts w:cs="Arial"/>
                <w:color w:val="000000" w:themeColor="text1"/>
                <w:szCs w:val="20"/>
              </w:rPr>
              <w:t>273,00</w:t>
            </w:r>
          </w:p>
        </w:tc>
      </w:tr>
      <w:tr w:rsidR="00D70C68" w:rsidRPr="005878FA" w14:paraId="2D293CA2"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0060B6A4" w14:textId="25C900C7" w:rsidR="00D70C68" w:rsidRPr="005878FA" w:rsidRDefault="00D70C68" w:rsidP="00D70C68">
            <w:pPr>
              <w:rPr>
                <w:rFonts w:eastAsiaTheme="minorHAnsi" w:cs="Arial"/>
                <w:sz w:val="22"/>
                <w:szCs w:val="22"/>
                <w:lang w:eastAsia="en-US"/>
              </w:rPr>
            </w:pPr>
            <w:r>
              <w:rPr>
                <w:rFonts w:cs="Arial"/>
                <w:color w:val="000000" w:themeColor="text1"/>
                <w:szCs w:val="20"/>
              </w:rPr>
              <w:t>Microcomputador Intel Daten</w:t>
            </w:r>
          </w:p>
        </w:tc>
        <w:tc>
          <w:tcPr>
            <w:tcW w:w="1275" w:type="dxa"/>
            <w:tcBorders>
              <w:top w:val="nil"/>
              <w:left w:val="nil"/>
              <w:bottom w:val="single" w:sz="8" w:space="0" w:color="auto"/>
              <w:right w:val="single" w:sz="4" w:space="0" w:color="auto"/>
            </w:tcBorders>
            <w:shd w:val="clear" w:color="auto" w:fill="FFFFFF" w:themeFill="background1"/>
            <w:noWrap/>
          </w:tcPr>
          <w:p w14:paraId="194B5672" w14:textId="41B67D58" w:rsidR="00D70C68" w:rsidRPr="005878FA" w:rsidRDefault="00D70C68" w:rsidP="00D70C68">
            <w:pPr>
              <w:jc w:val="center"/>
              <w:rPr>
                <w:rFonts w:eastAsiaTheme="minorHAnsi" w:cs="Arial"/>
                <w:sz w:val="22"/>
                <w:szCs w:val="22"/>
                <w:lang w:eastAsia="en-US"/>
              </w:rPr>
            </w:pPr>
            <w:r>
              <w:rPr>
                <w:rFonts w:cs="Arial"/>
                <w:color w:val="000000" w:themeColor="text1"/>
                <w:szCs w:val="20"/>
              </w:rPr>
              <w:t>4.709,00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7A4014F9" w14:textId="788C2948" w:rsidR="00D70C68" w:rsidRPr="005878FA" w:rsidRDefault="00D70C68" w:rsidP="00D70C68">
            <w:pPr>
              <w:jc w:val="center"/>
              <w:rPr>
                <w:rFonts w:eastAsiaTheme="minorHAnsi" w:cs="Arial"/>
                <w:sz w:val="22"/>
                <w:szCs w:val="22"/>
                <w:lang w:eastAsia="en-US"/>
              </w:rPr>
            </w:pPr>
            <w:r w:rsidRPr="00354A85">
              <w:rPr>
                <w:rFonts w:cs="Arial"/>
                <w:color w:val="000000" w:themeColor="text1"/>
                <w:szCs w:val="20"/>
              </w:rPr>
              <w:t>3</w:t>
            </w:r>
          </w:p>
        </w:tc>
        <w:tc>
          <w:tcPr>
            <w:tcW w:w="1276" w:type="dxa"/>
            <w:tcBorders>
              <w:top w:val="nil"/>
              <w:left w:val="nil"/>
              <w:bottom w:val="single" w:sz="4" w:space="0" w:color="000000"/>
              <w:right w:val="single" w:sz="4" w:space="0" w:color="auto"/>
            </w:tcBorders>
            <w:shd w:val="clear" w:color="FFFFFF" w:fill="FFFFFF"/>
            <w:noWrap/>
          </w:tcPr>
          <w:p w14:paraId="0771A08F" w14:textId="7F82611F" w:rsidR="00D70C68" w:rsidRPr="005878FA" w:rsidRDefault="00D70C68" w:rsidP="00D70C68">
            <w:pPr>
              <w:jc w:val="center"/>
              <w:rPr>
                <w:rFonts w:eastAsiaTheme="minorHAnsi" w:cs="Arial"/>
                <w:sz w:val="22"/>
                <w:szCs w:val="22"/>
                <w:lang w:eastAsia="en-US"/>
              </w:rPr>
            </w:pPr>
            <w:r>
              <w:rPr>
                <w:rFonts w:cs="Arial"/>
                <w:color w:val="000000" w:themeColor="text1"/>
                <w:szCs w:val="20"/>
              </w:rPr>
              <w:t>14.127,00</w:t>
            </w:r>
          </w:p>
        </w:tc>
      </w:tr>
      <w:tr w:rsidR="00D70C68" w:rsidRPr="005878FA" w14:paraId="041ED8E8"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2207CC8C" w14:textId="2B2F85FF" w:rsidR="00D70C68" w:rsidRPr="005878FA" w:rsidRDefault="00D70C68" w:rsidP="00D70C68">
            <w:pPr>
              <w:rPr>
                <w:rFonts w:eastAsiaTheme="minorHAnsi" w:cs="Arial"/>
                <w:sz w:val="22"/>
                <w:szCs w:val="22"/>
                <w:lang w:eastAsia="en-US"/>
              </w:rPr>
            </w:pPr>
            <w:r>
              <w:rPr>
                <w:rFonts w:cs="Arial"/>
                <w:color w:val="000000" w:themeColor="text1"/>
                <w:szCs w:val="20"/>
              </w:rPr>
              <w:t>Microcomputador Dell</w:t>
            </w:r>
          </w:p>
        </w:tc>
        <w:tc>
          <w:tcPr>
            <w:tcW w:w="1275" w:type="dxa"/>
            <w:tcBorders>
              <w:top w:val="nil"/>
              <w:left w:val="nil"/>
              <w:bottom w:val="single" w:sz="8" w:space="0" w:color="auto"/>
              <w:right w:val="single" w:sz="4" w:space="0" w:color="auto"/>
            </w:tcBorders>
            <w:shd w:val="clear" w:color="auto" w:fill="FFFFFF" w:themeFill="background1"/>
            <w:noWrap/>
          </w:tcPr>
          <w:p w14:paraId="203EEB75" w14:textId="10F37E6D" w:rsidR="00D70C68" w:rsidRPr="005878FA" w:rsidRDefault="00D70C68" w:rsidP="00D70C68">
            <w:pPr>
              <w:jc w:val="center"/>
              <w:rPr>
                <w:rFonts w:eastAsiaTheme="minorHAnsi" w:cs="Arial"/>
                <w:sz w:val="22"/>
                <w:szCs w:val="22"/>
                <w:lang w:eastAsia="en-US"/>
              </w:rPr>
            </w:pPr>
            <w:r>
              <w:rPr>
                <w:rFonts w:cs="Arial"/>
                <w:color w:val="000000" w:themeColor="text1"/>
                <w:szCs w:val="20"/>
              </w:rPr>
              <w:t>1.897,65</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28DB9DC1" w14:textId="3418A22C" w:rsidR="00D70C68" w:rsidRPr="005878FA" w:rsidRDefault="00D70C68" w:rsidP="00D70C68">
            <w:pPr>
              <w:jc w:val="center"/>
              <w:rPr>
                <w:rFonts w:eastAsiaTheme="minorHAnsi" w:cs="Arial"/>
                <w:sz w:val="22"/>
                <w:szCs w:val="22"/>
                <w:lang w:eastAsia="en-US"/>
              </w:rPr>
            </w:pPr>
            <w:r>
              <w:rPr>
                <w:rFonts w:cs="Arial"/>
                <w:color w:val="000000" w:themeColor="text1"/>
                <w:szCs w:val="20"/>
              </w:rPr>
              <w:t>4</w:t>
            </w:r>
          </w:p>
        </w:tc>
        <w:tc>
          <w:tcPr>
            <w:tcW w:w="1276" w:type="dxa"/>
            <w:tcBorders>
              <w:top w:val="nil"/>
              <w:left w:val="nil"/>
              <w:bottom w:val="single" w:sz="4" w:space="0" w:color="000000"/>
              <w:right w:val="single" w:sz="4" w:space="0" w:color="auto"/>
            </w:tcBorders>
            <w:shd w:val="clear" w:color="FFFFFF" w:fill="FFFFFF"/>
            <w:noWrap/>
          </w:tcPr>
          <w:p w14:paraId="0C3FBC13" w14:textId="6E66CBE1" w:rsidR="00D70C68" w:rsidRPr="005878FA" w:rsidRDefault="00D70C68" w:rsidP="00D70C68">
            <w:pPr>
              <w:jc w:val="center"/>
              <w:rPr>
                <w:rFonts w:eastAsiaTheme="minorHAnsi" w:cs="Arial"/>
                <w:sz w:val="22"/>
                <w:szCs w:val="22"/>
                <w:lang w:eastAsia="en-US"/>
              </w:rPr>
            </w:pPr>
            <w:r>
              <w:rPr>
                <w:rFonts w:cs="Arial"/>
                <w:color w:val="000000" w:themeColor="text1"/>
                <w:szCs w:val="20"/>
              </w:rPr>
              <w:t>7.590,60</w:t>
            </w:r>
          </w:p>
        </w:tc>
      </w:tr>
      <w:tr w:rsidR="00D70C68" w:rsidRPr="005878FA" w14:paraId="1C5C5C83"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72B8FFC5" w14:textId="593447D9" w:rsidR="00D70C68" w:rsidRPr="005878FA" w:rsidRDefault="00D70C68" w:rsidP="00D70C68">
            <w:pPr>
              <w:rPr>
                <w:rFonts w:eastAsiaTheme="minorHAnsi" w:cs="Arial"/>
                <w:sz w:val="22"/>
                <w:szCs w:val="22"/>
                <w:lang w:eastAsia="en-US"/>
              </w:rPr>
            </w:pPr>
            <w:r>
              <w:rPr>
                <w:rFonts w:cs="Arial"/>
                <w:color w:val="000000" w:themeColor="text1"/>
                <w:szCs w:val="20"/>
              </w:rPr>
              <w:t xml:space="preserve">Microcomputador HP </w:t>
            </w:r>
          </w:p>
        </w:tc>
        <w:tc>
          <w:tcPr>
            <w:tcW w:w="1275" w:type="dxa"/>
            <w:tcBorders>
              <w:top w:val="nil"/>
              <w:left w:val="nil"/>
              <w:bottom w:val="single" w:sz="8" w:space="0" w:color="auto"/>
              <w:right w:val="single" w:sz="4" w:space="0" w:color="auto"/>
            </w:tcBorders>
            <w:shd w:val="clear" w:color="auto" w:fill="FFFFFF" w:themeFill="background1"/>
            <w:noWrap/>
          </w:tcPr>
          <w:p w14:paraId="3E39124A" w14:textId="6845CCD3" w:rsidR="00D70C68" w:rsidRPr="005878FA" w:rsidRDefault="00D70C68" w:rsidP="00D70C68">
            <w:pPr>
              <w:jc w:val="center"/>
              <w:rPr>
                <w:rFonts w:eastAsiaTheme="minorHAnsi" w:cs="Arial"/>
                <w:sz w:val="22"/>
                <w:szCs w:val="22"/>
                <w:lang w:eastAsia="en-US"/>
              </w:rPr>
            </w:pPr>
            <w:r>
              <w:rPr>
                <w:rFonts w:cs="Arial"/>
                <w:color w:val="000000" w:themeColor="text1"/>
                <w:szCs w:val="20"/>
              </w:rPr>
              <w:t>2.452,55</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2E7F861D" w14:textId="301244EE" w:rsidR="00D70C68" w:rsidRPr="005878FA" w:rsidRDefault="00D70C68" w:rsidP="00D70C68">
            <w:pPr>
              <w:jc w:val="center"/>
              <w:rPr>
                <w:rFonts w:eastAsiaTheme="minorHAnsi" w:cs="Arial"/>
                <w:sz w:val="22"/>
                <w:szCs w:val="22"/>
                <w:lang w:eastAsia="en-US"/>
              </w:rPr>
            </w:pPr>
            <w:r>
              <w:rPr>
                <w:rFonts w:cs="Arial"/>
                <w:color w:val="000000" w:themeColor="text1"/>
                <w:szCs w:val="20"/>
              </w:rPr>
              <w:t>5</w:t>
            </w:r>
          </w:p>
        </w:tc>
        <w:tc>
          <w:tcPr>
            <w:tcW w:w="1276" w:type="dxa"/>
            <w:tcBorders>
              <w:top w:val="nil"/>
              <w:left w:val="nil"/>
              <w:bottom w:val="single" w:sz="4" w:space="0" w:color="000000"/>
              <w:right w:val="single" w:sz="4" w:space="0" w:color="auto"/>
            </w:tcBorders>
            <w:shd w:val="clear" w:color="FFFFFF" w:fill="FFFFFF"/>
            <w:noWrap/>
          </w:tcPr>
          <w:p w14:paraId="6D48C938" w14:textId="1FFD3139" w:rsidR="00D70C68" w:rsidRPr="005878FA" w:rsidRDefault="00D70C68" w:rsidP="00D70C68">
            <w:pPr>
              <w:jc w:val="center"/>
              <w:rPr>
                <w:rFonts w:eastAsiaTheme="minorHAnsi" w:cs="Arial"/>
                <w:sz w:val="22"/>
                <w:szCs w:val="22"/>
                <w:lang w:eastAsia="en-US"/>
              </w:rPr>
            </w:pPr>
            <w:r>
              <w:rPr>
                <w:rFonts w:cs="Arial"/>
                <w:color w:val="000000" w:themeColor="text1"/>
                <w:szCs w:val="20"/>
              </w:rPr>
              <w:t>12.262,75</w:t>
            </w:r>
          </w:p>
        </w:tc>
      </w:tr>
      <w:tr w:rsidR="00D70C68" w:rsidRPr="005878FA" w14:paraId="7FE855FD"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3A63E75B" w14:textId="45B54339" w:rsidR="00D70C68" w:rsidRPr="005878FA" w:rsidRDefault="00D70C68" w:rsidP="00D70C68">
            <w:pPr>
              <w:rPr>
                <w:rFonts w:eastAsiaTheme="minorHAnsi" w:cs="Arial"/>
                <w:sz w:val="22"/>
                <w:szCs w:val="22"/>
                <w:lang w:eastAsia="en-US"/>
              </w:rPr>
            </w:pPr>
            <w:r>
              <w:rPr>
                <w:rFonts w:cs="Arial"/>
                <w:color w:val="000000" w:themeColor="text1"/>
                <w:szCs w:val="20"/>
              </w:rPr>
              <w:t xml:space="preserve">Monitor de Vídeo Led AOC </w:t>
            </w:r>
          </w:p>
        </w:tc>
        <w:tc>
          <w:tcPr>
            <w:tcW w:w="1275" w:type="dxa"/>
            <w:tcBorders>
              <w:top w:val="nil"/>
              <w:left w:val="nil"/>
              <w:bottom w:val="single" w:sz="8" w:space="0" w:color="auto"/>
              <w:right w:val="single" w:sz="4" w:space="0" w:color="auto"/>
            </w:tcBorders>
            <w:shd w:val="clear" w:color="auto" w:fill="FFFFFF" w:themeFill="background1"/>
            <w:noWrap/>
          </w:tcPr>
          <w:p w14:paraId="25AF561B" w14:textId="58CFA174" w:rsidR="00D70C68" w:rsidRPr="005878FA" w:rsidRDefault="00D70C68" w:rsidP="00D70C68">
            <w:pPr>
              <w:jc w:val="center"/>
              <w:rPr>
                <w:rFonts w:eastAsiaTheme="minorHAnsi" w:cs="Arial"/>
                <w:sz w:val="22"/>
                <w:szCs w:val="22"/>
                <w:lang w:eastAsia="en-US"/>
              </w:rPr>
            </w:pPr>
            <w:r>
              <w:rPr>
                <w:rFonts w:cs="Arial"/>
                <w:color w:val="000000" w:themeColor="text1"/>
                <w:szCs w:val="20"/>
              </w:rPr>
              <w:t>740,00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528702E7" w14:textId="47EB3B39" w:rsidR="00D70C68" w:rsidRPr="005878FA" w:rsidRDefault="00D70C68" w:rsidP="00D70C68">
            <w:pPr>
              <w:jc w:val="center"/>
              <w:rPr>
                <w:rFonts w:eastAsiaTheme="minorHAnsi" w:cs="Arial"/>
                <w:sz w:val="22"/>
                <w:szCs w:val="22"/>
                <w:lang w:eastAsia="en-US"/>
              </w:rPr>
            </w:pPr>
            <w:r>
              <w:rPr>
                <w:rFonts w:cs="Arial"/>
                <w:color w:val="000000" w:themeColor="text1"/>
                <w:szCs w:val="20"/>
              </w:rPr>
              <w:t>7</w:t>
            </w:r>
          </w:p>
        </w:tc>
        <w:tc>
          <w:tcPr>
            <w:tcW w:w="1276" w:type="dxa"/>
            <w:tcBorders>
              <w:top w:val="nil"/>
              <w:left w:val="nil"/>
              <w:bottom w:val="single" w:sz="4" w:space="0" w:color="000000"/>
              <w:right w:val="single" w:sz="4" w:space="0" w:color="auto"/>
            </w:tcBorders>
            <w:shd w:val="clear" w:color="FFFFFF" w:fill="FFFFFF"/>
            <w:noWrap/>
          </w:tcPr>
          <w:p w14:paraId="2087417F" w14:textId="571BA7D6" w:rsidR="008D50CC" w:rsidRPr="008D50CC" w:rsidRDefault="008D50CC" w:rsidP="008D50CC">
            <w:pPr>
              <w:jc w:val="center"/>
              <w:rPr>
                <w:rFonts w:cs="Arial"/>
                <w:color w:val="000000" w:themeColor="text1"/>
                <w:szCs w:val="20"/>
              </w:rPr>
            </w:pPr>
            <w:r>
              <w:rPr>
                <w:rFonts w:cs="Arial"/>
                <w:color w:val="000000" w:themeColor="text1"/>
                <w:szCs w:val="20"/>
              </w:rPr>
              <w:t>5</w:t>
            </w:r>
            <w:r w:rsidR="007612C0">
              <w:rPr>
                <w:rFonts w:cs="Arial"/>
                <w:color w:val="000000" w:themeColor="text1"/>
                <w:szCs w:val="20"/>
              </w:rPr>
              <w:t>.</w:t>
            </w:r>
            <w:r>
              <w:rPr>
                <w:rFonts w:cs="Arial"/>
                <w:color w:val="000000" w:themeColor="text1"/>
                <w:szCs w:val="20"/>
              </w:rPr>
              <w:t>180</w:t>
            </w:r>
            <w:r w:rsidR="007612C0">
              <w:rPr>
                <w:rFonts w:cs="Arial"/>
                <w:color w:val="000000" w:themeColor="text1"/>
                <w:szCs w:val="20"/>
              </w:rPr>
              <w:t>,00</w:t>
            </w:r>
          </w:p>
        </w:tc>
      </w:tr>
      <w:tr w:rsidR="00D70C68" w:rsidRPr="005878FA" w14:paraId="3E825FAC"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4D6DF50C" w14:textId="55E0B10E" w:rsidR="00D70C68" w:rsidRPr="005878FA" w:rsidRDefault="00D70C68" w:rsidP="00D70C68">
            <w:pPr>
              <w:rPr>
                <w:rFonts w:eastAsiaTheme="minorHAnsi" w:cs="Arial"/>
                <w:sz w:val="22"/>
                <w:szCs w:val="22"/>
                <w:lang w:eastAsia="en-US"/>
              </w:rPr>
            </w:pPr>
            <w:r>
              <w:rPr>
                <w:rFonts w:cs="Arial"/>
                <w:color w:val="000000" w:themeColor="text1"/>
                <w:szCs w:val="20"/>
              </w:rPr>
              <w:t>Monitor LCD Dell 21 Polegadas</w:t>
            </w:r>
          </w:p>
        </w:tc>
        <w:tc>
          <w:tcPr>
            <w:tcW w:w="1275" w:type="dxa"/>
            <w:tcBorders>
              <w:top w:val="nil"/>
              <w:left w:val="nil"/>
              <w:bottom w:val="single" w:sz="8" w:space="0" w:color="auto"/>
              <w:right w:val="single" w:sz="4" w:space="0" w:color="auto"/>
            </w:tcBorders>
            <w:shd w:val="clear" w:color="auto" w:fill="FFFFFF" w:themeFill="background1"/>
            <w:noWrap/>
          </w:tcPr>
          <w:p w14:paraId="0E5E9E5C" w14:textId="3071C113" w:rsidR="00D70C68" w:rsidRPr="005878FA" w:rsidRDefault="00D70C68" w:rsidP="00D70C68">
            <w:pPr>
              <w:jc w:val="center"/>
              <w:rPr>
                <w:rFonts w:eastAsiaTheme="minorHAnsi" w:cs="Arial"/>
                <w:sz w:val="22"/>
                <w:szCs w:val="22"/>
                <w:lang w:eastAsia="en-US"/>
              </w:rPr>
            </w:pPr>
            <w:r>
              <w:rPr>
                <w:rFonts w:cs="Arial"/>
                <w:color w:val="000000" w:themeColor="text1"/>
                <w:szCs w:val="20"/>
              </w:rPr>
              <w:t>259,48</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5EEDF075" w14:textId="264BCE9A" w:rsidR="00D70C68" w:rsidRPr="005878FA" w:rsidRDefault="00D70C68" w:rsidP="00D70C68">
            <w:pPr>
              <w:jc w:val="center"/>
              <w:rPr>
                <w:rFonts w:eastAsiaTheme="minorHAnsi" w:cs="Arial"/>
                <w:sz w:val="22"/>
                <w:szCs w:val="22"/>
                <w:lang w:eastAsia="en-US"/>
              </w:rPr>
            </w:pPr>
            <w:r>
              <w:rPr>
                <w:rFonts w:cs="Arial"/>
                <w:color w:val="000000" w:themeColor="text1"/>
                <w:szCs w:val="20"/>
              </w:rPr>
              <w:t>4</w:t>
            </w:r>
          </w:p>
        </w:tc>
        <w:tc>
          <w:tcPr>
            <w:tcW w:w="1276" w:type="dxa"/>
            <w:tcBorders>
              <w:top w:val="nil"/>
              <w:left w:val="nil"/>
              <w:bottom w:val="single" w:sz="4" w:space="0" w:color="000000"/>
              <w:right w:val="single" w:sz="4" w:space="0" w:color="auto"/>
            </w:tcBorders>
            <w:shd w:val="clear" w:color="FFFFFF" w:fill="FFFFFF"/>
            <w:noWrap/>
          </w:tcPr>
          <w:p w14:paraId="692EABD1" w14:textId="5883F4B0" w:rsidR="00D70C68" w:rsidRPr="005878FA" w:rsidRDefault="00D70C68" w:rsidP="00D70C68">
            <w:pPr>
              <w:jc w:val="center"/>
              <w:rPr>
                <w:rFonts w:eastAsiaTheme="minorHAnsi" w:cs="Arial"/>
                <w:sz w:val="22"/>
                <w:szCs w:val="22"/>
                <w:lang w:eastAsia="en-US"/>
              </w:rPr>
            </w:pPr>
            <w:r>
              <w:rPr>
                <w:rFonts w:cs="Arial"/>
                <w:color w:val="000000" w:themeColor="text1"/>
                <w:szCs w:val="20"/>
              </w:rPr>
              <w:t>1.037,92</w:t>
            </w:r>
          </w:p>
        </w:tc>
      </w:tr>
      <w:tr w:rsidR="00D70C68" w:rsidRPr="005878FA" w14:paraId="028B574E"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2E73F202" w14:textId="27F54DA3" w:rsidR="00D70C68" w:rsidRPr="005878FA" w:rsidRDefault="00D70C68" w:rsidP="00D70C68">
            <w:pPr>
              <w:rPr>
                <w:rFonts w:eastAsiaTheme="minorHAnsi" w:cs="Arial"/>
                <w:sz w:val="22"/>
                <w:szCs w:val="22"/>
                <w:lang w:eastAsia="en-US"/>
              </w:rPr>
            </w:pPr>
            <w:r>
              <w:rPr>
                <w:rFonts w:cs="Arial"/>
                <w:color w:val="000000" w:themeColor="text1"/>
                <w:szCs w:val="20"/>
              </w:rPr>
              <w:t xml:space="preserve">Monitor LCD HP </w:t>
            </w:r>
          </w:p>
        </w:tc>
        <w:tc>
          <w:tcPr>
            <w:tcW w:w="1275" w:type="dxa"/>
            <w:tcBorders>
              <w:top w:val="nil"/>
              <w:left w:val="nil"/>
              <w:bottom w:val="single" w:sz="8" w:space="0" w:color="auto"/>
              <w:right w:val="single" w:sz="4" w:space="0" w:color="auto"/>
            </w:tcBorders>
            <w:shd w:val="clear" w:color="auto" w:fill="FFFFFF" w:themeFill="background1"/>
            <w:noWrap/>
          </w:tcPr>
          <w:p w14:paraId="3117F345" w14:textId="1708B8E4" w:rsidR="00D70C68" w:rsidRPr="005878FA" w:rsidRDefault="00D70C68" w:rsidP="00D70C68">
            <w:pPr>
              <w:jc w:val="center"/>
              <w:rPr>
                <w:rFonts w:eastAsiaTheme="minorHAnsi" w:cs="Arial"/>
                <w:sz w:val="22"/>
                <w:szCs w:val="22"/>
                <w:lang w:eastAsia="en-US"/>
              </w:rPr>
            </w:pPr>
            <w:r>
              <w:rPr>
                <w:rFonts w:cs="Arial"/>
                <w:color w:val="000000" w:themeColor="text1"/>
                <w:szCs w:val="20"/>
              </w:rPr>
              <w:t>717,45</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7EDC6EE9" w14:textId="4541BC11" w:rsidR="00D70C68" w:rsidRPr="005878FA" w:rsidRDefault="00D70C68" w:rsidP="00D70C68">
            <w:pPr>
              <w:jc w:val="center"/>
              <w:rPr>
                <w:rFonts w:eastAsiaTheme="minorHAnsi" w:cs="Arial"/>
                <w:sz w:val="22"/>
                <w:szCs w:val="22"/>
                <w:lang w:eastAsia="en-US"/>
              </w:rPr>
            </w:pPr>
            <w:r>
              <w:rPr>
                <w:rFonts w:cs="Arial"/>
                <w:color w:val="000000" w:themeColor="text1"/>
                <w:szCs w:val="20"/>
              </w:rPr>
              <w:t>4</w:t>
            </w:r>
          </w:p>
        </w:tc>
        <w:tc>
          <w:tcPr>
            <w:tcW w:w="1276" w:type="dxa"/>
            <w:tcBorders>
              <w:top w:val="nil"/>
              <w:left w:val="nil"/>
              <w:bottom w:val="single" w:sz="4" w:space="0" w:color="000000"/>
              <w:right w:val="single" w:sz="4" w:space="0" w:color="auto"/>
            </w:tcBorders>
            <w:shd w:val="clear" w:color="FFFFFF" w:fill="FFFFFF"/>
            <w:noWrap/>
          </w:tcPr>
          <w:p w14:paraId="6997E078" w14:textId="5B029289" w:rsidR="00D70C68" w:rsidRPr="005878FA" w:rsidRDefault="008D50CC" w:rsidP="00D70C68">
            <w:pPr>
              <w:jc w:val="center"/>
              <w:rPr>
                <w:rFonts w:eastAsiaTheme="minorHAnsi" w:cs="Arial"/>
                <w:sz w:val="22"/>
                <w:szCs w:val="22"/>
                <w:lang w:eastAsia="en-US"/>
              </w:rPr>
            </w:pPr>
            <w:r>
              <w:rPr>
                <w:rFonts w:cs="Arial"/>
                <w:color w:val="000000" w:themeColor="text1"/>
                <w:szCs w:val="20"/>
              </w:rPr>
              <w:t>2</w:t>
            </w:r>
            <w:r w:rsidR="007612C0">
              <w:rPr>
                <w:rFonts w:cs="Arial"/>
                <w:color w:val="000000" w:themeColor="text1"/>
                <w:szCs w:val="20"/>
              </w:rPr>
              <w:t>.</w:t>
            </w:r>
            <w:r>
              <w:rPr>
                <w:rFonts w:cs="Arial"/>
                <w:color w:val="000000" w:themeColor="text1"/>
                <w:szCs w:val="20"/>
              </w:rPr>
              <w:t>869,80</w:t>
            </w:r>
          </w:p>
        </w:tc>
      </w:tr>
      <w:tr w:rsidR="00D70C68" w:rsidRPr="005878FA" w14:paraId="574BDE2B"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4D92D6AB" w14:textId="08B0411B" w:rsidR="00D70C68" w:rsidRPr="005878FA" w:rsidRDefault="00D70C68" w:rsidP="00D70C68">
            <w:pPr>
              <w:rPr>
                <w:rFonts w:eastAsiaTheme="minorHAnsi" w:cs="Arial"/>
                <w:sz w:val="22"/>
                <w:szCs w:val="22"/>
                <w:lang w:eastAsia="en-US"/>
              </w:rPr>
            </w:pPr>
            <w:r>
              <w:rPr>
                <w:rFonts w:cs="Arial"/>
                <w:color w:val="000000" w:themeColor="text1"/>
                <w:szCs w:val="20"/>
              </w:rPr>
              <w:t>Utensílios de cozinha (Cx diversos)</w:t>
            </w:r>
          </w:p>
        </w:tc>
        <w:tc>
          <w:tcPr>
            <w:tcW w:w="1275" w:type="dxa"/>
            <w:tcBorders>
              <w:top w:val="nil"/>
              <w:left w:val="nil"/>
              <w:bottom w:val="single" w:sz="8" w:space="0" w:color="auto"/>
              <w:right w:val="single" w:sz="4" w:space="0" w:color="auto"/>
            </w:tcBorders>
            <w:shd w:val="clear" w:color="auto" w:fill="FFFFFF" w:themeFill="background1"/>
            <w:noWrap/>
          </w:tcPr>
          <w:p w14:paraId="154241DB" w14:textId="44A9C524" w:rsidR="00D70C68" w:rsidRPr="005878FA" w:rsidRDefault="00D70C68" w:rsidP="00D70C68">
            <w:pPr>
              <w:jc w:val="center"/>
              <w:rPr>
                <w:rFonts w:eastAsiaTheme="minorHAnsi" w:cs="Arial"/>
                <w:sz w:val="22"/>
                <w:szCs w:val="22"/>
                <w:lang w:eastAsia="en-US"/>
              </w:rPr>
            </w:pPr>
            <w:r>
              <w:rPr>
                <w:rFonts w:cs="Arial"/>
                <w:color w:val="000000" w:themeColor="text1"/>
                <w:szCs w:val="20"/>
              </w:rPr>
              <w:t>100,00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29E518F8" w14:textId="05D8B504" w:rsidR="00D70C68" w:rsidRPr="005878FA" w:rsidRDefault="00D70C68" w:rsidP="00D70C68">
            <w:pPr>
              <w:jc w:val="center"/>
              <w:rPr>
                <w:rFonts w:eastAsiaTheme="minorHAnsi" w:cs="Arial"/>
                <w:sz w:val="22"/>
                <w:szCs w:val="22"/>
                <w:lang w:eastAsia="en-US"/>
              </w:rPr>
            </w:pPr>
            <w:r>
              <w:rPr>
                <w:rFonts w:cs="Arial"/>
                <w:color w:val="000000" w:themeColor="text1"/>
                <w:szCs w:val="20"/>
              </w:rPr>
              <w:t>2</w:t>
            </w:r>
          </w:p>
        </w:tc>
        <w:tc>
          <w:tcPr>
            <w:tcW w:w="1276" w:type="dxa"/>
            <w:tcBorders>
              <w:top w:val="nil"/>
              <w:left w:val="nil"/>
              <w:bottom w:val="single" w:sz="4" w:space="0" w:color="000000"/>
              <w:right w:val="single" w:sz="4" w:space="0" w:color="auto"/>
            </w:tcBorders>
            <w:shd w:val="clear" w:color="FFFFFF" w:fill="FFFFFF"/>
            <w:noWrap/>
          </w:tcPr>
          <w:p w14:paraId="54FBB497" w14:textId="459B5F0E" w:rsidR="00D70C68" w:rsidRPr="005878FA" w:rsidRDefault="00D70C68" w:rsidP="00D70C68">
            <w:pPr>
              <w:jc w:val="center"/>
              <w:rPr>
                <w:rFonts w:eastAsiaTheme="minorHAnsi" w:cs="Arial"/>
                <w:sz w:val="22"/>
                <w:szCs w:val="22"/>
                <w:lang w:eastAsia="en-US"/>
              </w:rPr>
            </w:pPr>
            <w:r>
              <w:rPr>
                <w:rFonts w:cs="Arial"/>
                <w:color w:val="000000" w:themeColor="text1"/>
                <w:szCs w:val="20"/>
              </w:rPr>
              <w:t>200,00</w:t>
            </w:r>
          </w:p>
        </w:tc>
      </w:tr>
      <w:tr w:rsidR="00D70C68" w:rsidRPr="005878FA" w14:paraId="06EB0EEA"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36A0FA8B" w14:textId="6CBE68F2" w:rsidR="00D70C68" w:rsidRPr="005878FA" w:rsidRDefault="00D70C68" w:rsidP="00D70C68">
            <w:pPr>
              <w:rPr>
                <w:rFonts w:eastAsiaTheme="minorHAnsi" w:cs="Arial"/>
                <w:sz w:val="22"/>
                <w:szCs w:val="22"/>
                <w:lang w:eastAsia="en-US"/>
              </w:rPr>
            </w:pPr>
            <w:r>
              <w:rPr>
                <w:rFonts w:cs="Arial"/>
                <w:color w:val="000000" w:themeColor="text1"/>
                <w:szCs w:val="20"/>
              </w:rPr>
              <w:t>Agua sanitária – Bombona 5L</w:t>
            </w:r>
          </w:p>
        </w:tc>
        <w:tc>
          <w:tcPr>
            <w:tcW w:w="1275" w:type="dxa"/>
            <w:tcBorders>
              <w:top w:val="nil"/>
              <w:left w:val="nil"/>
              <w:bottom w:val="single" w:sz="8" w:space="0" w:color="auto"/>
              <w:right w:val="single" w:sz="4" w:space="0" w:color="auto"/>
            </w:tcBorders>
            <w:shd w:val="clear" w:color="auto" w:fill="FFFFFF" w:themeFill="background1"/>
            <w:noWrap/>
          </w:tcPr>
          <w:p w14:paraId="58B86A9B" w14:textId="3FFCC667" w:rsidR="00D70C68" w:rsidRPr="005878FA" w:rsidRDefault="00D70C68" w:rsidP="00D70C68">
            <w:pPr>
              <w:jc w:val="center"/>
              <w:rPr>
                <w:rFonts w:eastAsiaTheme="minorHAnsi" w:cs="Arial"/>
                <w:sz w:val="22"/>
                <w:szCs w:val="22"/>
                <w:lang w:eastAsia="en-US"/>
              </w:rPr>
            </w:pPr>
            <w:r>
              <w:rPr>
                <w:rFonts w:cs="Arial"/>
                <w:color w:val="000000" w:themeColor="text1"/>
                <w:szCs w:val="20"/>
              </w:rPr>
              <w:t>10,00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35DEB16C" w14:textId="65A50FF3" w:rsidR="00D70C68" w:rsidRPr="005878FA" w:rsidRDefault="00D70C68" w:rsidP="00D70C68">
            <w:pPr>
              <w:jc w:val="center"/>
              <w:rPr>
                <w:rFonts w:eastAsiaTheme="minorHAnsi" w:cs="Arial"/>
                <w:sz w:val="22"/>
                <w:szCs w:val="22"/>
                <w:lang w:eastAsia="en-US"/>
              </w:rPr>
            </w:pPr>
            <w:r>
              <w:rPr>
                <w:rFonts w:cs="Arial"/>
                <w:color w:val="000000" w:themeColor="text1"/>
                <w:szCs w:val="20"/>
              </w:rPr>
              <w:t>17</w:t>
            </w:r>
          </w:p>
        </w:tc>
        <w:tc>
          <w:tcPr>
            <w:tcW w:w="1276" w:type="dxa"/>
            <w:tcBorders>
              <w:top w:val="nil"/>
              <w:left w:val="nil"/>
              <w:bottom w:val="single" w:sz="4" w:space="0" w:color="000000"/>
              <w:right w:val="single" w:sz="4" w:space="0" w:color="auto"/>
            </w:tcBorders>
            <w:shd w:val="clear" w:color="FFFFFF" w:fill="FFFFFF"/>
            <w:noWrap/>
          </w:tcPr>
          <w:p w14:paraId="3B495267" w14:textId="749A704D" w:rsidR="00D70C68" w:rsidRPr="005878FA" w:rsidRDefault="00D70C68" w:rsidP="00D70C68">
            <w:pPr>
              <w:jc w:val="center"/>
              <w:rPr>
                <w:rFonts w:eastAsiaTheme="minorHAnsi" w:cs="Arial"/>
                <w:sz w:val="22"/>
                <w:szCs w:val="22"/>
                <w:lang w:eastAsia="en-US"/>
              </w:rPr>
            </w:pPr>
            <w:r>
              <w:rPr>
                <w:rFonts w:cs="Arial"/>
                <w:color w:val="000000" w:themeColor="text1"/>
                <w:szCs w:val="20"/>
              </w:rPr>
              <w:t>170,00</w:t>
            </w:r>
          </w:p>
        </w:tc>
      </w:tr>
      <w:tr w:rsidR="00D70C68" w:rsidRPr="005878FA" w14:paraId="26DADC20"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3BBB670F" w14:textId="5FCCF855" w:rsidR="00D70C68" w:rsidRPr="005878FA" w:rsidRDefault="00D70C68" w:rsidP="00D70C68">
            <w:pPr>
              <w:rPr>
                <w:rFonts w:eastAsiaTheme="minorHAnsi" w:cs="Arial"/>
                <w:sz w:val="22"/>
                <w:szCs w:val="22"/>
                <w:lang w:eastAsia="en-US"/>
              </w:rPr>
            </w:pPr>
            <w:r>
              <w:rPr>
                <w:rFonts w:cs="Arial"/>
                <w:color w:val="000000" w:themeColor="text1"/>
                <w:szCs w:val="20"/>
              </w:rPr>
              <w:t xml:space="preserve">Produtos de limpeza (Caixa diversos) </w:t>
            </w:r>
          </w:p>
        </w:tc>
        <w:tc>
          <w:tcPr>
            <w:tcW w:w="1275" w:type="dxa"/>
            <w:tcBorders>
              <w:top w:val="nil"/>
              <w:left w:val="nil"/>
              <w:bottom w:val="single" w:sz="8" w:space="0" w:color="auto"/>
              <w:right w:val="single" w:sz="4" w:space="0" w:color="auto"/>
            </w:tcBorders>
            <w:shd w:val="clear" w:color="auto" w:fill="FFFFFF" w:themeFill="background1"/>
            <w:noWrap/>
          </w:tcPr>
          <w:p w14:paraId="1F6D70BC" w14:textId="5F542C77" w:rsidR="00D70C68" w:rsidRPr="005878FA" w:rsidRDefault="00D70C68" w:rsidP="00D70C68">
            <w:pPr>
              <w:jc w:val="center"/>
              <w:rPr>
                <w:rFonts w:eastAsiaTheme="minorHAnsi" w:cs="Arial"/>
                <w:sz w:val="22"/>
                <w:szCs w:val="22"/>
                <w:lang w:eastAsia="en-US"/>
              </w:rPr>
            </w:pPr>
            <w:r>
              <w:rPr>
                <w:rFonts w:cs="Arial"/>
                <w:color w:val="000000" w:themeColor="text1"/>
                <w:szCs w:val="20"/>
              </w:rPr>
              <w:t>80,00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448A9E4F" w14:textId="0861D1A5" w:rsidR="00D70C68" w:rsidRPr="005878FA" w:rsidRDefault="00D70C68" w:rsidP="00D70C68">
            <w:pPr>
              <w:jc w:val="center"/>
              <w:rPr>
                <w:rFonts w:eastAsiaTheme="minorHAnsi" w:cs="Arial"/>
                <w:sz w:val="22"/>
                <w:szCs w:val="22"/>
                <w:lang w:eastAsia="en-US"/>
              </w:rPr>
            </w:pPr>
            <w:r>
              <w:rPr>
                <w:rFonts w:cs="Arial"/>
                <w:color w:val="000000" w:themeColor="text1"/>
                <w:szCs w:val="20"/>
              </w:rPr>
              <w:t>1</w:t>
            </w:r>
          </w:p>
        </w:tc>
        <w:tc>
          <w:tcPr>
            <w:tcW w:w="1276" w:type="dxa"/>
            <w:tcBorders>
              <w:top w:val="nil"/>
              <w:left w:val="nil"/>
              <w:bottom w:val="single" w:sz="4" w:space="0" w:color="000000"/>
              <w:right w:val="single" w:sz="4" w:space="0" w:color="auto"/>
            </w:tcBorders>
            <w:shd w:val="clear" w:color="FFFFFF" w:fill="FFFFFF"/>
            <w:noWrap/>
          </w:tcPr>
          <w:p w14:paraId="14E81784" w14:textId="63D34078" w:rsidR="00D70C68" w:rsidRPr="005878FA" w:rsidRDefault="00D70C68" w:rsidP="00D70C68">
            <w:pPr>
              <w:jc w:val="center"/>
              <w:rPr>
                <w:rFonts w:eastAsiaTheme="minorHAnsi" w:cs="Arial"/>
                <w:sz w:val="22"/>
                <w:szCs w:val="22"/>
                <w:lang w:eastAsia="en-US"/>
              </w:rPr>
            </w:pPr>
            <w:r>
              <w:rPr>
                <w:rFonts w:cs="Arial"/>
                <w:color w:val="000000" w:themeColor="text1"/>
                <w:szCs w:val="20"/>
              </w:rPr>
              <w:t>80,00</w:t>
            </w:r>
          </w:p>
        </w:tc>
      </w:tr>
      <w:tr w:rsidR="00D70C68" w:rsidRPr="005878FA" w14:paraId="368D1DCE"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353B81CE" w14:textId="555FCEC9" w:rsidR="00D70C68" w:rsidRPr="005878FA" w:rsidRDefault="00D70C68" w:rsidP="00D70C68">
            <w:pPr>
              <w:rPr>
                <w:rFonts w:eastAsiaTheme="minorHAnsi" w:cs="Arial"/>
                <w:sz w:val="22"/>
                <w:szCs w:val="22"/>
                <w:lang w:eastAsia="en-US"/>
              </w:rPr>
            </w:pPr>
            <w:r>
              <w:rPr>
                <w:rFonts w:cs="Arial"/>
                <w:color w:val="000000" w:themeColor="text1"/>
                <w:szCs w:val="20"/>
              </w:rPr>
              <w:t>Bombona água 20 litros (5 cheias/4 vazias)</w:t>
            </w:r>
          </w:p>
        </w:tc>
        <w:tc>
          <w:tcPr>
            <w:tcW w:w="1275" w:type="dxa"/>
            <w:tcBorders>
              <w:top w:val="nil"/>
              <w:left w:val="nil"/>
              <w:bottom w:val="single" w:sz="8" w:space="0" w:color="auto"/>
              <w:right w:val="single" w:sz="4" w:space="0" w:color="auto"/>
            </w:tcBorders>
            <w:shd w:val="clear" w:color="auto" w:fill="FFFFFF" w:themeFill="background1"/>
            <w:noWrap/>
          </w:tcPr>
          <w:p w14:paraId="46EF8EEE" w14:textId="3B3AC346" w:rsidR="00D70C68" w:rsidRPr="005878FA" w:rsidRDefault="00D70C68" w:rsidP="00D70C68">
            <w:pPr>
              <w:jc w:val="center"/>
              <w:rPr>
                <w:rFonts w:eastAsiaTheme="minorHAnsi" w:cs="Arial"/>
                <w:sz w:val="22"/>
                <w:szCs w:val="22"/>
                <w:lang w:eastAsia="en-US"/>
              </w:rPr>
            </w:pPr>
            <w:r>
              <w:rPr>
                <w:rFonts w:cs="Arial"/>
                <w:color w:val="000000" w:themeColor="text1"/>
                <w:szCs w:val="20"/>
              </w:rPr>
              <w:t>14,00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6F4B2B28" w14:textId="2BB45DCA" w:rsidR="00D70C68" w:rsidRPr="005878FA" w:rsidRDefault="00D70C68" w:rsidP="00D70C68">
            <w:pPr>
              <w:jc w:val="center"/>
              <w:rPr>
                <w:rFonts w:eastAsiaTheme="minorHAnsi" w:cs="Arial"/>
                <w:sz w:val="22"/>
                <w:szCs w:val="22"/>
                <w:lang w:eastAsia="en-US"/>
              </w:rPr>
            </w:pPr>
            <w:r>
              <w:rPr>
                <w:rFonts w:cs="Arial"/>
                <w:color w:val="000000" w:themeColor="text1"/>
                <w:szCs w:val="20"/>
              </w:rPr>
              <w:t>9</w:t>
            </w:r>
          </w:p>
        </w:tc>
        <w:tc>
          <w:tcPr>
            <w:tcW w:w="1276" w:type="dxa"/>
            <w:tcBorders>
              <w:top w:val="nil"/>
              <w:left w:val="nil"/>
              <w:bottom w:val="single" w:sz="4" w:space="0" w:color="000000"/>
              <w:right w:val="single" w:sz="4" w:space="0" w:color="auto"/>
            </w:tcBorders>
            <w:shd w:val="clear" w:color="FFFFFF" w:fill="FFFFFF"/>
            <w:noWrap/>
          </w:tcPr>
          <w:p w14:paraId="31C3908C" w14:textId="3A5D173B" w:rsidR="00D70C68" w:rsidRPr="005878FA" w:rsidRDefault="00D70C68" w:rsidP="00D70C68">
            <w:pPr>
              <w:jc w:val="center"/>
              <w:rPr>
                <w:rFonts w:eastAsiaTheme="minorHAnsi" w:cs="Arial"/>
                <w:sz w:val="22"/>
                <w:szCs w:val="22"/>
                <w:lang w:eastAsia="en-US"/>
              </w:rPr>
            </w:pPr>
            <w:r>
              <w:rPr>
                <w:rFonts w:cs="Arial"/>
                <w:color w:val="000000" w:themeColor="text1"/>
                <w:szCs w:val="20"/>
              </w:rPr>
              <w:t>126,00</w:t>
            </w:r>
          </w:p>
        </w:tc>
      </w:tr>
      <w:tr w:rsidR="00D70C68" w:rsidRPr="005878FA" w14:paraId="62333ED7"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61E7EFDF" w14:textId="578CE32A" w:rsidR="00D70C68" w:rsidRPr="005878FA" w:rsidRDefault="00D70C68" w:rsidP="00D70C68">
            <w:pPr>
              <w:rPr>
                <w:rFonts w:eastAsiaTheme="minorHAnsi" w:cs="Arial"/>
                <w:sz w:val="22"/>
                <w:szCs w:val="22"/>
                <w:lang w:eastAsia="en-US"/>
              </w:rPr>
            </w:pPr>
            <w:r>
              <w:rPr>
                <w:rFonts w:cs="Arial"/>
                <w:color w:val="000000" w:themeColor="text1"/>
                <w:szCs w:val="20"/>
              </w:rPr>
              <w:t>Lixeiras plásticas</w:t>
            </w:r>
          </w:p>
        </w:tc>
        <w:tc>
          <w:tcPr>
            <w:tcW w:w="1275" w:type="dxa"/>
            <w:tcBorders>
              <w:top w:val="nil"/>
              <w:left w:val="nil"/>
              <w:bottom w:val="single" w:sz="8" w:space="0" w:color="auto"/>
              <w:right w:val="single" w:sz="4" w:space="0" w:color="auto"/>
            </w:tcBorders>
            <w:shd w:val="clear" w:color="auto" w:fill="FFFFFF" w:themeFill="background1"/>
            <w:noWrap/>
          </w:tcPr>
          <w:p w14:paraId="19EA2232" w14:textId="58621970" w:rsidR="00D70C68" w:rsidRPr="005878FA" w:rsidRDefault="00D70C68" w:rsidP="00D70C68">
            <w:pPr>
              <w:jc w:val="center"/>
              <w:rPr>
                <w:rFonts w:eastAsiaTheme="minorHAnsi" w:cs="Arial"/>
                <w:sz w:val="22"/>
                <w:szCs w:val="22"/>
                <w:lang w:eastAsia="en-US"/>
              </w:rPr>
            </w:pPr>
            <w:r>
              <w:rPr>
                <w:rFonts w:cs="Arial"/>
                <w:color w:val="000000" w:themeColor="text1"/>
                <w:szCs w:val="20"/>
              </w:rPr>
              <w:t>15,00</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462E8605" w14:textId="417EE6B9" w:rsidR="00D70C68" w:rsidRPr="005878FA" w:rsidRDefault="00D70C68" w:rsidP="00D70C68">
            <w:pPr>
              <w:jc w:val="center"/>
              <w:rPr>
                <w:rFonts w:eastAsiaTheme="minorHAnsi" w:cs="Arial"/>
                <w:sz w:val="22"/>
                <w:szCs w:val="22"/>
                <w:lang w:eastAsia="en-US"/>
              </w:rPr>
            </w:pPr>
            <w:r>
              <w:rPr>
                <w:rFonts w:cs="Arial"/>
                <w:color w:val="000000" w:themeColor="text1"/>
                <w:szCs w:val="20"/>
              </w:rPr>
              <w:t>20</w:t>
            </w:r>
          </w:p>
        </w:tc>
        <w:tc>
          <w:tcPr>
            <w:tcW w:w="1276" w:type="dxa"/>
            <w:tcBorders>
              <w:top w:val="nil"/>
              <w:left w:val="nil"/>
              <w:bottom w:val="single" w:sz="4" w:space="0" w:color="000000"/>
              <w:right w:val="single" w:sz="4" w:space="0" w:color="auto"/>
            </w:tcBorders>
            <w:shd w:val="clear" w:color="FFFFFF" w:fill="FFFFFF"/>
            <w:noWrap/>
          </w:tcPr>
          <w:p w14:paraId="01D84DF4" w14:textId="205111E5" w:rsidR="00D70C68" w:rsidRPr="005878FA" w:rsidRDefault="00D70C68" w:rsidP="00D70C68">
            <w:pPr>
              <w:jc w:val="center"/>
              <w:rPr>
                <w:rFonts w:eastAsiaTheme="minorHAnsi" w:cs="Arial"/>
                <w:sz w:val="22"/>
                <w:szCs w:val="22"/>
                <w:lang w:eastAsia="en-US"/>
              </w:rPr>
            </w:pPr>
            <w:r>
              <w:rPr>
                <w:rFonts w:cs="Arial"/>
                <w:color w:val="000000" w:themeColor="text1"/>
                <w:szCs w:val="20"/>
              </w:rPr>
              <w:t>300,00</w:t>
            </w:r>
          </w:p>
        </w:tc>
      </w:tr>
      <w:tr w:rsidR="00D70C68" w:rsidRPr="005878FA" w14:paraId="4B5F0ADD" w14:textId="77777777" w:rsidTr="00BC3F5B">
        <w:trPr>
          <w:trHeight w:val="276"/>
        </w:trPr>
        <w:tc>
          <w:tcPr>
            <w:tcW w:w="4957" w:type="dxa"/>
            <w:tcBorders>
              <w:top w:val="nil"/>
              <w:left w:val="single" w:sz="8" w:space="0" w:color="auto"/>
              <w:bottom w:val="single" w:sz="8" w:space="0" w:color="auto"/>
              <w:right w:val="single" w:sz="8" w:space="0" w:color="auto"/>
            </w:tcBorders>
            <w:shd w:val="clear" w:color="auto" w:fill="FFFFFF" w:themeFill="background1"/>
            <w:noWrap/>
          </w:tcPr>
          <w:p w14:paraId="001E23E9" w14:textId="52F39C8C" w:rsidR="00D70C68" w:rsidRPr="005878FA" w:rsidRDefault="00D70C68" w:rsidP="00D70C68">
            <w:pPr>
              <w:rPr>
                <w:rFonts w:eastAsiaTheme="minorHAnsi" w:cs="Arial"/>
                <w:sz w:val="22"/>
                <w:szCs w:val="22"/>
                <w:lang w:eastAsia="en-US"/>
              </w:rPr>
            </w:pPr>
            <w:r>
              <w:rPr>
                <w:rFonts w:cs="Arial"/>
                <w:color w:val="000000" w:themeColor="text1"/>
                <w:szCs w:val="20"/>
              </w:rPr>
              <w:t>Caixa de Documentos diversos</w:t>
            </w:r>
          </w:p>
        </w:tc>
        <w:tc>
          <w:tcPr>
            <w:tcW w:w="1275" w:type="dxa"/>
            <w:tcBorders>
              <w:top w:val="nil"/>
              <w:left w:val="nil"/>
              <w:bottom w:val="single" w:sz="8" w:space="0" w:color="auto"/>
              <w:right w:val="single" w:sz="4" w:space="0" w:color="auto"/>
            </w:tcBorders>
            <w:shd w:val="clear" w:color="auto" w:fill="FFFFFF" w:themeFill="background1"/>
            <w:noWrap/>
          </w:tcPr>
          <w:p w14:paraId="1F543FD8" w14:textId="4676C2B1" w:rsidR="00D70C68" w:rsidRPr="005878FA" w:rsidRDefault="00D70C68" w:rsidP="00D70C68">
            <w:pPr>
              <w:jc w:val="center"/>
              <w:rPr>
                <w:rFonts w:eastAsiaTheme="minorHAnsi" w:cs="Arial"/>
                <w:sz w:val="22"/>
                <w:szCs w:val="22"/>
                <w:lang w:eastAsia="en-US"/>
              </w:rPr>
            </w:pPr>
            <w:r>
              <w:rPr>
                <w:rFonts w:cs="Arial"/>
                <w:color w:val="000000" w:themeColor="text1"/>
                <w:szCs w:val="20"/>
              </w:rPr>
              <w:t>-.-</w:t>
            </w:r>
          </w:p>
        </w:tc>
        <w:tc>
          <w:tcPr>
            <w:tcW w:w="851" w:type="dxa"/>
            <w:tcBorders>
              <w:top w:val="nil"/>
              <w:left w:val="single" w:sz="4" w:space="0" w:color="auto"/>
              <w:bottom w:val="single" w:sz="8" w:space="0" w:color="auto"/>
              <w:right w:val="single" w:sz="8" w:space="0" w:color="auto"/>
            </w:tcBorders>
            <w:shd w:val="clear" w:color="auto" w:fill="FFFFFF" w:themeFill="background1"/>
            <w:noWrap/>
          </w:tcPr>
          <w:p w14:paraId="7E21FCA9" w14:textId="3C6626F7" w:rsidR="00D70C68" w:rsidRPr="005878FA" w:rsidRDefault="00D70C68" w:rsidP="00D70C68">
            <w:pPr>
              <w:jc w:val="center"/>
              <w:rPr>
                <w:rFonts w:eastAsiaTheme="minorHAnsi" w:cs="Arial"/>
                <w:sz w:val="22"/>
                <w:szCs w:val="22"/>
                <w:lang w:eastAsia="en-US"/>
              </w:rPr>
            </w:pPr>
            <w:r>
              <w:rPr>
                <w:rFonts w:cs="Arial"/>
                <w:color w:val="000000" w:themeColor="text1"/>
                <w:szCs w:val="20"/>
              </w:rPr>
              <w:t>120</w:t>
            </w:r>
          </w:p>
        </w:tc>
        <w:tc>
          <w:tcPr>
            <w:tcW w:w="1276" w:type="dxa"/>
            <w:tcBorders>
              <w:top w:val="nil"/>
              <w:left w:val="nil"/>
              <w:bottom w:val="single" w:sz="4" w:space="0" w:color="000000"/>
              <w:right w:val="single" w:sz="4" w:space="0" w:color="auto"/>
            </w:tcBorders>
            <w:shd w:val="clear" w:color="FFFFFF" w:fill="FFFFFF"/>
            <w:noWrap/>
          </w:tcPr>
          <w:p w14:paraId="78E6DAA6" w14:textId="61284166" w:rsidR="00D70C68" w:rsidRPr="005878FA" w:rsidRDefault="00D70C68" w:rsidP="00D70C68">
            <w:pPr>
              <w:jc w:val="center"/>
              <w:rPr>
                <w:rFonts w:eastAsiaTheme="minorHAnsi" w:cs="Arial"/>
                <w:sz w:val="22"/>
                <w:szCs w:val="22"/>
                <w:lang w:eastAsia="en-US"/>
              </w:rPr>
            </w:pPr>
            <w:r>
              <w:rPr>
                <w:rFonts w:cs="Arial"/>
                <w:color w:val="000000" w:themeColor="text1"/>
                <w:szCs w:val="20"/>
              </w:rPr>
              <w:t>0</w:t>
            </w:r>
          </w:p>
        </w:tc>
      </w:tr>
      <w:tr w:rsidR="00D70C68" w:rsidRPr="005878FA" w14:paraId="06ACB750" w14:textId="77777777" w:rsidTr="00D70C68">
        <w:trPr>
          <w:trHeight w:val="276"/>
        </w:trPr>
        <w:tc>
          <w:tcPr>
            <w:tcW w:w="8359" w:type="dxa"/>
            <w:gridSpan w:val="4"/>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62197BBC" w14:textId="5FA5094B" w:rsidR="00D70C68" w:rsidRPr="005878FA" w:rsidRDefault="00D70C68" w:rsidP="00D70C68">
            <w:pPr>
              <w:jc w:val="center"/>
              <w:rPr>
                <w:rFonts w:eastAsiaTheme="minorHAnsi" w:cs="Arial"/>
                <w:sz w:val="22"/>
                <w:szCs w:val="22"/>
                <w:lang w:eastAsia="en-US"/>
              </w:rPr>
            </w:pPr>
          </w:p>
        </w:tc>
      </w:tr>
      <w:tr w:rsidR="00D70C68" w:rsidRPr="005878FA" w14:paraId="4E4DAAF9" w14:textId="77777777" w:rsidTr="00D70C68">
        <w:trPr>
          <w:trHeight w:val="276"/>
        </w:trPr>
        <w:tc>
          <w:tcPr>
            <w:tcW w:w="6232" w:type="dxa"/>
            <w:gridSpan w:val="2"/>
            <w:tcBorders>
              <w:top w:val="single" w:sz="4" w:space="0" w:color="000000"/>
              <w:left w:val="single" w:sz="4" w:space="0" w:color="auto"/>
              <w:bottom w:val="single" w:sz="4" w:space="0" w:color="auto"/>
              <w:right w:val="single" w:sz="4" w:space="0" w:color="000000"/>
            </w:tcBorders>
            <w:shd w:val="clear" w:color="auto" w:fill="BFBFBF" w:themeFill="background1" w:themeFillShade="BF"/>
            <w:noWrap/>
            <w:vAlign w:val="bottom"/>
            <w:hideMark/>
          </w:tcPr>
          <w:p w14:paraId="2B012DA3" w14:textId="77777777" w:rsidR="00D70C68" w:rsidRPr="005878FA" w:rsidRDefault="00D70C68" w:rsidP="00D70C68">
            <w:pPr>
              <w:jc w:val="center"/>
              <w:rPr>
                <w:rFonts w:eastAsiaTheme="minorHAnsi" w:cs="Arial"/>
                <w:sz w:val="22"/>
                <w:szCs w:val="22"/>
                <w:lang w:eastAsia="en-US"/>
              </w:rPr>
            </w:pPr>
            <w:r w:rsidRPr="005878FA">
              <w:rPr>
                <w:rFonts w:eastAsiaTheme="minorHAnsi" w:cs="Arial"/>
                <w:sz w:val="22"/>
                <w:szCs w:val="22"/>
                <w:lang w:eastAsia="en-US"/>
              </w:rPr>
              <w:t>Total Geral</w:t>
            </w:r>
          </w:p>
        </w:tc>
        <w:tc>
          <w:tcPr>
            <w:tcW w:w="851" w:type="dxa"/>
            <w:tcBorders>
              <w:top w:val="nil"/>
              <w:left w:val="nil"/>
              <w:bottom w:val="single" w:sz="4" w:space="0" w:color="auto"/>
              <w:right w:val="single" w:sz="4" w:space="0" w:color="000000"/>
            </w:tcBorders>
            <w:shd w:val="clear" w:color="auto" w:fill="BFBFBF" w:themeFill="background1" w:themeFillShade="BF"/>
            <w:noWrap/>
            <w:vAlign w:val="bottom"/>
          </w:tcPr>
          <w:p w14:paraId="67409B2E" w14:textId="59626407" w:rsidR="00D70C68" w:rsidRPr="005878FA" w:rsidRDefault="00D70C68" w:rsidP="00D70C68">
            <w:pPr>
              <w:jc w:val="center"/>
              <w:rPr>
                <w:rFonts w:eastAsiaTheme="minorHAnsi" w:cs="Arial"/>
                <w:sz w:val="22"/>
                <w:szCs w:val="22"/>
                <w:lang w:eastAsia="en-US"/>
              </w:rPr>
            </w:pPr>
          </w:p>
        </w:tc>
        <w:tc>
          <w:tcPr>
            <w:tcW w:w="1276" w:type="dxa"/>
            <w:tcBorders>
              <w:top w:val="nil"/>
              <w:left w:val="nil"/>
              <w:bottom w:val="single" w:sz="4" w:space="0" w:color="auto"/>
              <w:right w:val="single" w:sz="4" w:space="0" w:color="auto"/>
            </w:tcBorders>
            <w:shd w:val="clear" w:color="auto" w:fill="BFBFBF" w:themeFill="background1" w:themeFillShade="BF"/>
            <w:noWrap/>
            <w:vAlign w:val="bottom"/>
            <w:hideMark/>
          </w:tcPr>
          <w:p w14:paraId="348E332A" w14:textId="692ABE22" w:rsidR="00D70C68" w:rsidRPr="005878FA" w:rsidRDefault="007612C0" w:rsidP="00B348AC">
            <w:pPr>
              <w:jc w:val="center"/>
              <w:rPr>
                <w:rFonts w:eastAsiaTheme="minorHAnsi" w:cs="Arial"/>
                <w:sz w:val="22"/>
                <w:szCs w:val="22"/>
                <w:lang w:eastAsia="en-US"/>
              </w:rPr>
            </w:pPr>
            <w:r>
              <w:rPr>
                <w:rFonts w:eastAsiaTheme="minorHAnsi" w:cs="Arial"/>
                <w:sz w:val="22"/>
                <w:szCs w:val="22"/>
                <w:lang w:eastAsia="en-US"/>
              </w:rPr>
              <w:t>101</w:t>
            </w:r>
            <w:r w:rsidR="00D70C68" w:rsidRPr="005878FA">
              <w:rPr>
                <w:rFonts w:eastAsiaTheme="minorHAnsi" w:cs="Arial"/>
                <w:sz w:val="22"/>
                <w:szCs w:val="22"/>
                <w:lang w:eastAsia="en-US"/>
              </w:rPr>
              <w:t>.</w:t>
            </w:r>
            <w:r w:rsidR="00B348AC">
              <w:rPr>
                <w:rFonts w:eastAsiaTheme="minorHAnsi" w:cs="Arial"/>
                <w:sz w:val="22"/>
                <w:szCs w:val="22"/>
                <w:lang w:eastAsia="en-US"/>
              </w:rPr>
              <w:t>49</w:t>
            </w:r>
            <w:r>
              <w:rPr>
                <w:rFonts w:eastAsiaTheme="minorHAnsi" w:cs="Arial"/>
                <w:sz w:val="22"/>
                <w:szCs w:val="22"/>
                <w:lang w:eastAsia="en-US"/>
              </w:rPr>
              <w:t>3</w:t>
            </w:r>
            <w:r w:rsidR="00D70C68" w:rsidRPr="005878FA">
              <w:rPr>
                <w:rFonts w:eastAsiaTheme="minorHAnsi" w:cs="Arial"/>
                <w:sz w:val="22"/>
                <w:szCs w:val="22"/>
                <w:lang w:eastAsia="en-US"/>
              </w:rPr>
              <w:t>,</w:t>
            </w:r>
            <w:r>
              <w:rPr>
                <w:rFonts w:eastAsiaTheme="minorHAnsi" w:cs="Arial"/>
                <w:sz w:val="22"/>
                <w:szCs w:val="22"/>
                <w:lang w:eastAsia="en-US"/>
              </w:rPr>
              <w:t>7</w:t>
            </w:r>
            <w:r w:rsidR="00B348AC">
              <w:rPr>
                <w:rFonts w:eastAsiaTheme="minorHAnsi" w:cs="Arial"/>
                <w:sz w:val="22"/>
                <w:szCs w:val="22"/>
                <w:lang w:eastAsia="en-US"/>
              </w:rPr>
              <w:t>4</w:t>
            </w:r>
          </w:p>
        </w:tc>
      </w:tr>
    </w:tbl>
    <w:p w14:paraId="494DAC2F" w14:textId="55CF0D7E" w:rsidR="00563005" w:rsidRDefault="00563005" w:rsidP="00D17875">
      <w:pPr>
        <w:pStyle w:val="PargrafodaLista"/>
        <w:ind w:left="716"/>
        <w:jc w:val="both"/>
        <w:rPr>
          <w:rFonts w:cs="Arial"/>
          <w:bCs/>
          <w:color w:val="FF0000"/>
          <w:szCs w:val="20"/>
        </w:rPr>
      </w:pPr>
    </w:p>
    <w:p w14:paraId="03456CD3" w14:textId="77777777" w:rsidR="00C16BEE" w:rsidRPr="00DC6AE3" w:rsidRDefault="00C16BEE" w:rsidP="00D17875">
      <w:pPr>
        <w:pStyle w:val="PargrafodaLista"/>
        <w:ind w:left="716"/>
        <w:jc w:val="both"/>
        <w:rPr>
          <w:rFonts w:cs="Arial"/>
          <w:bCs/>
          <w:color w:val="FF0000"/>
          <w:szCs w:val="20"/>
        </w:rPr>
      </w:pPr>
    </w:p>
    <w:p w14:paraId="0AB564AF" w14:textId="04107A0F" w:rsidR="00822758" w:rsidRPr="00DA0A64" w:rsidRDefault="007B7E1C" w:rsidP="000D390A">
      <w:pPr>
        <w:pStyle w:val="Nivel1"/>
        <w:rPr>
          <w:rFonts w:cs="Arial"/>
          <w:color w:val="auto"/>
          <w:sz w:val="22"/>
          <w:szCs w:val="22"/>
        </w:rPr>
      </w:pPr>
      <w:r w:rsidRPr="00DA0A64">
        <w:rPr>
          <w:rFonts w:cs="Arial"/>
          <w:color w:val="auto"/>
          <w:sz w:val="22"/>
          <w:szCs w:val="22"/>
        </w:rPr>
        <w:t>MODELO DE GESTÃO DO CONTRATO E CRITÉRIOS DE MEDIÇÃO E PAGAMENTO:</w:t>
      </w:r>
    </w:p>
    <w:p w14:paraId="230F5945" w14:textId="77777777"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A ANTAQ, por meio do fiscal e do gestor do contrato, realizará a verificação dos critérios estabelecidos, de modo a assegurar o melhor desempenho na prestação dos serviços contratados. </w:t>
      </w:r>
    </w:p>
    <w:p w14:paraId="1EE06FBB" w14:textId="175AC7DC"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Configurado o descumprimento dos critérios de desempenho, será realizado o ajuste da fatura de serviços de acordo com os percentuais estabelecidos. </w:t>
      </w:r>
    </w:p>
    <w:p w14:paraId="232B0D3C" w14:textId="77777777"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Os critérios de desempenho a serem considerados serão avaliados conforme descrições do Instrumento de Medição do Resultado (IMR), e suas ocorrências serão anotadas pelo fiscal do contrato e imediatamente comunicada à Contratante. </w:t>
      </w:r>
    </w:p>
    <w:p w14:paraId="45A78865" w14:textId="10B20CBB"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Os critérios Apresentação, Assiduidade e Efetividade serão mensurados por meio de inspeções in loco pelo fiscal do contrato. </w:t>
      </w:r>
    </w:p>
    <w:p w14:paraId="7288F3E1" w14:textId="475E033A"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O processamento das glosas não impede a instauração concomitante de procedimento para aplicação de sanção administrativa, conforme </w:t>
      </w:r>
      <w:r w:rsidR="003B18D2" w:rsidRPr="00DA0A64">
        <w:rPr>
          <w:rFonts w:eastAsiaTheme="minorHAnsi" w:cs="Arial"/>
          <w:sz w:val="22"/>
          <w:szCs w:val="22"/>
          <w:lang w:eastAsia="en-US"/>
        </w:rPr>
        <w:t xml:space="preserve">item </w:t>
      </w:r>
      <w:r w:rsidR="001051B8" w:rsidRPr="00DA0A64">
        <w:rPr>
          <w:rFonts w:eastAsiaTheme="minorHAnsi" w:cs="Arial"/>
          <w:sz w:val="22"/>
          <w:szCs w:val="22"/>
          <w:lang w:eastAsia="en-US"/>
        </w:rPr>
        <w:t>18</w:t>
      </w:r>
      <w:r w:rsidRPr="00DA0A64">
        <w:rPr>
          <w:rFonts w:eastAsiaTheme="minorHAnsi" w:cs="Arial"/>
          <w:sz w:val="22"/>
          <w:szCs w:val="22"/>
          <w:lang w:eastAsia="en-US"/>
        </w:rPr>
        <w:t xml:space="preserve"> deste termo de referência.</w:t>
      </w:r>
    </w:p>
    <w:p w14:paraId="4F8463C0" w14:textId="77777777" w:rsidR="000A1D53" w:rsidRPr="00DA0A64" w:rsidRDefault="000A1D53" w:rsidP="00FC08A2">
      <w:pPr>
        <w:pStyle w:val="paragrafonumeradonivel2"/>
        <w:tabs>
          <w:tab w:val="left" w:pos="142"/>
        </w:tabs>
        <w:spacing w:before="0" w:beforeAutospacing="0" w:after="0" w:afterAutospacing="0" w:line="360" w:lineRule="auto"/>
        <w:ind w:left="551" w:right="120"/>
        <w:jc w:val="center"/>
        <w:rPr>
          <w:rFonts w:ascii="Arial" w:hAnsi="Arial" w:cs="Arial"/>
          <w:sz w:val="22"/>
          <w:szCs w:val="22"/>
          <w:u w:val="single"/>
        </w:rPr>
      </w:pPr>
    </w:p>
    <w:p w14:paraId="3E166E55" w14:textId="00336A5F" w:rsidR="00FC08A2" w:rsidRPr="00DA0A64" w:rsidRDefault="00FC08A2" w:rsidP="00357497">
      <w:pPr>
        <w:pStyle w:val="paragrafonumeradonivel2"/>
        <w:tabs>
          <w:tab w:val="left" w:pos="142"/>
        </w:tabs>
        <w:spacing w:before="0" w:beforeAutospacing="0" w:after="0" w:afterAutospacing="0" w:line="360" w:lineRule="auto"/>
        <w:ind w:left="551" w:right="120"/>
        <w:rPr>
          <w:rFonts w:ascii="Arial" w:hAnsi="Arial" w:cs="Arial"/>
          <w:sz w:val="22"/>
          <w:szCs w:val="22"/>
          <w:u w:val="single"/>
        </w:rPr>
      </w:pPr>
      <w:r w:rsidRPr="00DA0A64">
        <w:rPr>
          <w:rFonts w:ascii="Arial" w:hAnsi="Arial" w:cs="Arial"/>
          <w:sz w:val="22"/>
          <w:szCs w:val="22"/>
          <w:u w:val="single"/>
        </w:rPr>
        <w:t>Instrumento de Medição do Resultado (IMR)</w:t>
      </w:r>
    </w:p>
    <w:tbl>
      <w:tblPr>
        <w:tblStyle w:val="Tabelacomgrade"/>
        <w:tblW w:w="9351" w:type="dxa"/>
        <w:tblInd w:w="0" w:type="dxa"/>
        <w:tblLayout w:type="fixed"/>
        <w:tblLook w:val="04A0" w:firstRow="1" w:lastRow="0" w:firstColumn="1" w:lastColumn="0" w:noHBand="0" w:noVBand="1"/>
      </w:tblPr>
      <w:tblGrid>
        <w:gridCol w:w="1555"/>
        <w:gridCol w:w="3260"/>
        <w:gridCol w:w="850"/>
        <w:gridCol w:w="1843"/>
        <w:gridCol w:w="1843"/>
      </w:tblGrid>
      <w:tr w:rsidR="00DA0A64" w:rsidRPr="00DA0A64" w14:paraId="677FCF19" w14:textId="77777777" w:rsidTr="00CC65ED">
        <w:tc>
          <w:tcPr>
            <w:tcW w:w="1555" w:type="dxa"/>
          </w:tcPr>
          <w:p w14:paraId="2105DAF5"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CRITÉRIO</w:t>
            </w:r>
          </w:p>
        </w:tc>
        <w:tc>
          <w:tcPr>
            <w:tcW w:w="3260" w:type="dxa"/>
          </w:tcPr>
          <w:p w14:paraId="78ADAAB6"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DESCRIÇÃO</w:t>
            </w:r>
          </w:p>
        </w:tc>
        <w:tc>
          <w:tcPr>
            <w:tcW w:w="850" w:type="dxa"/>
          </w:tcPr>
          <w:p w14:paraId="397B13C9"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 xml:space="preserve">GRAU </w:t>
            </w:r>
          </w:p>
          <w:p w14:paraId="41B2CFAD" w14:textId="77777777" w:rsidR="00FC08A2" w:rsidRPr="00DA0A64" w:rsidRDefault="00FC08A2" w:rsidP="0066385E">
            <w:pPr>
              <w:autoSpaceDE w:val="0"/>
              <w:autoSpaceDN w:val="0"/>
              <w:adjustRightInd w:val="0"/>
              <w:jc w:val="both"/>
              <w:rPr>
                <w:rFonts w:cs="Arial"/>
                <w:bCs/>
                <w:szCs w:val="20"/>
              </w:rPr>
            </w:pPr>
          </w:p>
        </w:tc>
        <w:tc>
          <w:tcPr>
            <w:tcW w:w="1843" w:type="dxa"/>
          </w:tcPr>
          <w:p w14:paraId="03D5E888"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PONTOS PERDIDOS POR INCIDÊNCIA</w:t>
            </w:r>
          </w:p>
        </w:tc>
        <w:tc>
          <w:tcPr>
            <w:tcW w:w="1843" w:type="dxa"/>
          </w:tcPr>
          <w:p w14:paraId="4046643A"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PONTOS PERDIDOS POR REINCIDÊNCIA</w:t>
            </w:r>
          </w:p>
        </w:tc>
      </w:tr>
      <w:tr w:rsidR="00DA0A64" w:rsidRPr="00DA0A64" w14:paraId="23A6264D" w14:textId="77777777" w:rsidTr="00CC65ED">
        <w:tc>
          <w:tcPr>
            <w:tcW w:w="1555" w:type="dxa"/>
          </w:tcPr>
          <w:p w14:paraId="2D38DD9B" w14:textId="77777777" w:rsidR="00FC08A2" w:rsidRPr="00DA0A64" w:rsidRDefault="00FC08A2" w:rsidP="0066385E">
            <w:pPr>
              <w:autoSpaceDE w:val="0"/>
              <w:autoSpaceDN w:val="0"/>
              <w:adjustRightInd w:val="0"/>
              <w:jc w:val="both"/>
              <w:rPr>
                <w:rFonts w:cs="Arial"/>
                <w:bCs/>
                <w:szCs w:val="20"/>
              </w:rPr>
            </w:pPr>
            <w:r w:rsidRPr="00DA0A64">
              <w:rPr>
                <w:rFonts w:cs="Arial"/>
                <w:szCs w:val="20"/>
              </w:rPr>
              <w:t>Apresentação</w:t>
            </w:r>
          </w:p>
        </w:tc>
        <w:tc>
          <w:tcPr>
            <w:tcW w:w="3260" w:type="dxa"/>
          </w:tcPr>
          <w:p w14:paraId="799A4FE2" w14:textId="77777777" w:rsidR="00FC08A2" w:rsidRPr="00DA0A64" w:rsidRDefault="00FC08A2" w:rsidP="0066385E">
            <w:pPr>
              <w:autoSpaceDE w:val="0"/>
              <w:autoSpaceDN w:val="0"/>
              <w:adjustRightInd w:val="0"/>
              <w:jc w:val="both"/>
              <w:rPr>
                <w:rFonts w:cs="Arial"/>
                <w:bCs/>
                <w:szCs w:val="20"/>
              </w:rPr>
            </w:pPr>
            <w:r w:rsidRPr="00DA0A64">
              <w:rPr>
                <w:rFonts w:cs="Arial"/>
                <w:szCs w:val="20"/>
              </w:rPr>
              <w:t>Permitir a presença de funcionário sem uniforme, mal apresentado e/ou sem Cartão de Identificação, por funcionário e por ocorrência;</w:t>
            </w:r>
          </w:p>
        </w:tc>
        <w:tc>
          <w:tcPr>
            <w:tcW w:w="850" w:type="dxa"/>
          </w:tcPr>
          <w:p w14:paraId="2FF7835E"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1</w:t>
            </w:r>
          </w:p>
        </w:tc>
        <w:tc>
          <w:tcPr>
            <w:tcW w:w="1843" w:type="dxa"/>
          </w:tcPr>
          <w:p w14:paraId="45778723"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2</w:t>
            </w:r>
          </w:p>
        </w:tc>
        <w:tc>
          <w:tcPr>
            <w:tcW w:w="1843" w:type="dxa"/>
          </w:tcPr>
          <w:p w14:paraId="15882954"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4</w:t>
            </w:r>
          </w:p>
        </w:tc>
      </w:tr>
      <w:tr w:rsidR="00DA0A64" w:rsidRPr="00DA0A64" w14:paraId="39CB0423" w14:textId="77777777" w:rsidTr="00CC65ED">
        <w:tc>
          <w:tcPr>
            <w:tcW w:w="1555" w:type="dxa"/>
          </w:tcPr>
          <w:p w14:paraId="381826F3" w14:textId="77777777" w:rsidR="00FC08A2" w:rsidRPr="00DA0A64" w:rsidRDefault="00FC08A2" w:rsidP="0066385E">
            <w:pPr>
              <w:autoSpaceDE w:val="0"/>
              <w:autoSpaceDN w:val="0"/>
              <w:adjustRightInd w:val="0"/>
              <w:jc w:val="both"/>
              <w:rPr>
                <w:rFonts w:cs="Arial"/>
                <w:bCs/>
                <w:szCs w:val="20"/>
              </w:rPr>
            </w:pPr>
            <w:r w:rsidRPr="00DA0A64">
              <w:rPr>
                <w:rFonts w:cs="Arial"/>
                <w:szCs w:val="20"/>
              </w:rPr>
              <w:t>Assiduidade</w:t>
            </w:r>
          </w:p>
        </w:tc>
        <w:tc>
          <w:tcPr>
            <w:tcW w:w="3260" w:type="dxa"/>
          </w:tcPr>
          <w:p w14:paraId="119AFCFD" w14:textId="04C27757" w:rsidR="00FC08A2" w:rsidRPr="00DA0A64" w:rsidRDefault="000A1D53" w:rsidP="000A1D53">
            <w:pPr>
              <w:autoSpaceDE w:val="0"/>
              <w:autoSpaceDN w:val="0"/>
              <w:adjustRightInd w:val="0"/>
              <w:jc w:val="both"/>
              <w:rPr>
                <w:rFonts w:cs="Arial"/>
                <w:bCs/>
                <w:szCs w:val="20"/>
              </w:rPr>
            </w:pPr>
            <w:r w:rsidRPr="00DA0A64">
              <w:rPr>
                <w:rFonts w:cs="Arial"/>
                <w:szCs w:val="20"/>
              </w:rPr>
              <w:t>Permitir atraso injustificado na conclusão do serviço</w:t>
            </w:r>
            <w:r w:rsidR="00FC08A2" w:rsidRPr="00DA0A64">
              <w:rPr>
                <w:rFonts w:cs="Arial"/>
                <w:szCs w:val="20"/>
              </w:rPr>
              <w:t>;</w:t>
            </w:r>
          </w:p>
        </w:tc>
        <w:tc>
          <w:tcPr>
            <w:tcW w:w="850" w:type="dxa"/>
          </w:tcPr>
          <w:p w14:paraId="01E83F0B"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2</w:t>
            </w:r>
          </w:p>
        </w:tc>
        <w:tc>
          <w:tcPr>
            <w:tcW w:w="1843" w:type="dxa"/>
          </w:tcPr>
          <w:p w14:paraId="45C74743"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4</w:t>
            </w:r>
          </w:p>
        </w:tc>
        <w:tc>
          <w:tcPr>
            <w:tcW w:w="1843" w:type="dxa"/>
          </w:tcPr>
          <w:p w14:paraId="0905AD03"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5</w:t>
            </w:r>
          </w:p>
        </w:tc>
      </w:tr>
      <w:tr w:rsidR="00DA0A64" w:rsidRPr="00DA0A64" w14:paraId="669296D3" w14:textId="77777777" w:rsidTr="00CC65ED">
        <w:tc>
          <w:tcPr>
            <w:tcW w:w="1555" w:type="dxa"/>
          </w:tcPr>
          <w:p w14:paraId="3C6A8776" w14:textId="77777777" w:rsidR="00FC08A2" w:rsidRPr="00DA0A64" w:rsidRDefault="00FC08A2" w:rsidP="0066385E">
            <w:pPr>
              <w:autoSpaceDE w:val="0"/>
              <w:autoSpaceDN w:val="0"/>
              <w:adjustRightInd w:val="0"/>
              <w:jc w:val="both"/>
              <w:rPr>
                <w:rFonts w:cs="Arial"/>
                <w:bCs/>
                <w:szCs w:val="20"/>
              </w:rPr>
            </w:pPr>
            <w:r w:rsidRPr="00DA0A64">
              <w:rPr>
                <w:rFonts w:cs="Arial"/>
                <w:szCs w:val="20"/>
              </w:rPr>
              <w:t>Efetividade</w:t>
            </w:r>
          </w:p>
        </w:tc>
        <w:tc>
          <w:tcPr>
            <w:tcW w:w="3260" w:type="dxa"/>
          </w:tcPr>
          <w:p w14:paraId="5DDB7E0D" w14:textId="440EA096" w:rsidR="00FC08A2" w:rsidRPr="00DA0A64" w:rsidRDefault="00FC08A2" w:rsidP="000A1D53">
            <w:pPr>
              <w:autoSpaceDE w:val="0"/>
              <w:autoSpaceDN w:val="0"/>
              <w:adjustRightInd w:val="0"/>
              <w:jc w:val="both"/>
              <w:rPr>
                <w:rFonts w:cs="Arial"/>
                <w:bCs/>
                <w:szCs w:val="20"/>
              </w:rPr>
            </w:pPr>
            <w:r w:rsidRPr="00DA0A64">
              <w:rPr>
                <w:rFonts w:cs="Arial"/>
                <w:szCs w:val="20"/>
              </w:rPr>
              <w:t xml:space="preserve">Descumprir as </w:t>
            </w:r>
            <w:r w:rsidR="000A1D53" w:rsidRPr="00DA0A64">
              <w:rPr>
                <w:rFonts w:cs="Arial"/>
                <w:szCs w:val="20"/>
              </w:rPr>
              <w:t>exigências</w:t>
            </w:r>
            <w:r w:rsidRPr="00DA0A64">
              <w:rPr>
                <w:rFonts w:cs="Arial"/>
                <w:szCs w:val="20"/>
              </w:rPr>
              <w:t xml:space="preserve"> estabelecidas pela Antaq, por ocorrência;</w:t>
            </w:r>
          </w:p>
        </w:tc>
        <w:tc>
          <w:tcPr>
            <w:tcW w:w="850" w:type="dxa"/>
          </w:tcPr>
          <w:p w14:paraId="487F9DCD"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3</w:t>
            </w:r>
          </w:p>
        </w:tc>
        <w:tc>
          <w:tcPr>
            <w:tcW w:w="1843" w:type="dxa"/>
          </w:tcPr>
          <w:p w14:paraId="62D59C95"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5</w:t>
            </w:r>
          </w:p>
        </w:tc>
        <w:tc>
          <w:tcPr>
            <w:tcW w:w="1843" w:type="dxa"/>
          </w:tcPr>
          <w:p w14:paraId="37E4FB89"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6</w:t>
            </w:r>
          </w:p>
        </w:tc>
      </w:tr>
      <w:tr w:rsidR="00DA0A64" w:rsidRPr="00DA0A64" w14:paraId="54CF2C82" w14:textId="77777777" w:rsidTr="00CC65ED">
        <w:tc>
          <w:tcPr>
            <w:tcW w:w="7508" w:type="dxa"/>
            <w:gridSpan w:val="4"/>
          </w:tcPr>
          <w:p w14:paraId="1EAE1EB1" w14:textId="77777777" w:rsidR="00FC08A2" w:rsidRPr="00DA0A64" w:rsidRDefault="00FC08A2" w:rsidP="0066385E">
            <w:pPr>
              <w:autoSpaceDE w:val="0"/>
              <w:autoSpaceDN w:val="0"/>
              <w:adjustRightInd w:val="0"/>
              <w:jc w:val="both"/>
              <w:rPr>
                <w:rFonts w:cs="Arial"/>
                <w:bCs/>
                <w:szCs w:val="20"/>
              </w:rPr>
            </w:pPr>
            <w:r w:rsidRPr="00DA0A64">
              <w:rPr>
                <w:rFonts w:cs="Arial"/>
                <w:szCs w:val="20"/>
              </w:rPr>
              <w:t>TOTAL DE PONTOS PERDIDOS</w:t>
            </w:r>
          </w:p>
        </w:tc>
        <w:tc>
          <w:tcPr>
            <w:tcW w:w="1843" w:type="dxa"/>
          </w:tcPr>
          <w:p w14:paraId="18DC41A6" w14:textId="77777777" w:rsidR="00FC08A2" w:rsidRPr="00DA0A64" w:rsidRDefault="00FC08A2" w:rsidP="0066385E">
            <w:pPr>
              <w:autoSpaceDE w:val="0"/>
              <w:autoSpaceDN w:val="0"/>
              <w:adjustRightInd w:val="0"/>
              <w:jc w:val="both"/>
              <w:rPr>
                <w:rFonts w:cs="Arial"/>
                <w:bCs/>
                <w:szCs w:val="20"/>
              </w:rPr>
            </w:pPr>
          </w:p>
        </w:tc>
      </w:tr>
      <w:tr w:rsidR="00DA0A64" w:rsidRPr="00DA0A64" w14:paraId="352F93F3" w14:textId="77777777" w:rsidTr="00CC65ED">
        <w:tc>
          <w:tcPr>
            <w:tcW w:w="7508" w:type="dxa"/>
            <w:gridSpan w:val="4"/>
          </w:tcPr>
          <w:p w14:paraId="2AEB61B4" w14:textId="77777777" w:rsidR="00FC08A2" w:rsidRPr="00DA0A64" w:rsidRDefault="00FC08A2" w:rsidP="0066385E">
            <w:pPr>
              <w:autoSpaceDE w:val="0"/>
              <w:autoSpaceDN w:val="0"/>
              <w:adjustRightInd w:val="0"/>
              <w:jc w:val="both"/>
              <w:rPr>
                <w:rFonts w:cs="Arial"/>
                <w:bCs/>
                <w:szCs w:val="20"/>
              </w:rPr>
            </w:pPr>
            <w:r w:rsidRPr="00DA0A64">
              <w:rPr>
                <w:rFonts w:cs="Arial"/>
                <w:szCs w:val="20"/>
              </w:rPr>
              <w:t>PONTUAÇÃO TOTAL (100 PONTOS - PONTOS PERDIDOS)</w:t>
            </w:r>
          </w:p>
        </w:tc>
        <w:tc>
          <w:tcPr>
            <w:tcW w:w="1843" w:type="dxa"/>
          </w:tcPr>
          <w:p w14:paraId="230FEE24" w14:textId="77777777" w:rsidR="00FC08A2" w:rsidRPr="00DA0A64" w:rsidRDefault="00FC08A2" w:rsidP="0066385E">
            <w:pPr>
              <w:autoSpaceDE w:val="0"/>
              <w:autoSpaceDN w:val="0"/>
              <w:adjustRightInd w:val="0"/>
              <w:jc w:val="both"/>
              <w:rPr>
                <w:rFonts w:cs="Arial"/>
                <w:bCs/>
                <w:szCs w:val="20"/>
              </w:rPr>
            </w:pPr>
          </w:p>
        </w:tc>
      </w:tr>
      <w:tr w:rsidR="00DA0A64" w:rsidRPr="00DA0A64" w14:paraId="1BFA830D" w14:textId="77777777" w:rsidTr="00CC65ED">
        <w:tc>
          <w:tcPr>
            <w:tcW w:w="7508" w:type="dxa"/>
            <w:gridSpan w:val="4"/>
          </w:tcPr>
          <w:p w14:paraId="7D4BA5F1" w14:textId="77777777" w:rsidR="00FC08A2" w:rsidRPr="00DA0A64" w:rsidRDefault="00FC08A2" w:rsidP="0066385E">
            <w:pPr>
              <w:autoSpaceDE w:val="0"/>
              <w:autoSpaceDN w:val="0"/>
              <w:adjustRightInd w:val="0"/>
              <w:jc w:val="both"/>
              <w:rPr>
                <w:rFonts w:cs="Arial"/>
                <w:bCs/>
                <w:szCs w:val="20"/>
              </w:rPr>
            </w:pPr>
            <w:r w:rsidRPr="00DA0A64">
              <w:rPr>
                <w:rFonts w:cs="Arial"/>
                <w:szCs w:val="20"/>
              </w:rPr>
              <w:t>CONCEITO DA AVALIAÇÃO (A- Ótimo; B - Bom; C- Regular; D - Insatisfatório)</w:t>
            </w:r>
          </w:p>
        </w:tc>
        <w:tc>
          <w:tcPr>
            <w:tcW w:w="1843" w:type="dxa"/>
          </w:tcPr>
          <w:p w14:paraId="5A2A187E" w14:textId="77777777" w:rsidR="00FC08A2" w:rsidRPr="00DA0A64" w:rsidRDefault="00FC08A2" w:rsidP="0066385E">
            <w:pPr>
              <w:autoSpaceDE w:val="0"/>
              <w:autoSpaceDN w:val="0"/>
              <w:adjustRightInd w:val="0"/>
              <w:jc w:val="both"/>
              <w:rPr>
                <w:rFonts w:cs="Arial"/>
                <w:bCs/>
                <w:szCs w:val="20"/>
              </w:rPr>
            </w:pPr>
          </w:p>
        </w:tc>
      </w:tr>
    </w:tbl>
    <w:p w14:paraId="74824510" w14:textId="3BDC7E30" w:rsidR="00FC08A2" w:rsidRPr="00DA0A64" w:rsidRDefault="00FC08A2" w:rsidP="00FC08A2">
      <w:pPr>
        <w:autoSpaceDE w:val="0"/>
        <w:autoSpaceDN w:val="0"/>
        <w:adjustRightInd w:val="0"/>
        <w:jc w:val="both"/>
        <w:rPr>
          <w:rFonts w:cs="Arial"/>
          <w:bCs/>
          <w:sz w:val="22"/>
          <w:szCs w:val="22"/>
        </w:rPr>
      </w:pPr>
    </w:p>
    <w:p w14:paraId="44A0719F" w14:textId="24F3A128" w:rsidR="00FC08A2" w:rsidRPr="00DA0A64" w:rsidRDefault="00FC08A2" w:rsidP="00FC08A2">
      <w:pPr>
        <w:numPr>
          <w:ilvl w:val="1"/>
          <w:numId w:val="1"/>
        </w:numPr>
        <w:spacing w:before="120" w:after="120" w:line="276" w:lineRule="auto"/>
        <w:ind w:left="284" w:firstLine="0"/>
        <w:jc w:val="both"/>
        <w:rPr>
          <w:rFonts w:cs="Arial"/>
          <w:sz w:val="22"/>
          <w:szCs w:val="22"/>
        </w:rPr>
      </w:pPr>
      <w:r w:rsidRPr="00DA0A64">
        <w:rPr>
          <w:rFonts w:cs="Arial"/>
          <w:sz w:val="22"/>
          <w:szCs w:val="22"/>
        </w:rPr>
        <w:t>Apurados os pontos perdidos, o percentual de ajuste da fatura se dará na proporção da tabela abaixo:</w:t>
      </w:r>
    </w:p>
    <w:tbl>
      <w:tblPr>
        <w:tblStyle w:val="Tabelacomgrade"/>
        <w:tblW w:w="9351" w:type="dxa"/>
        <w:tblInd w:w="0" w:type="dxa"/>
        <w:tblLook w:val="04A0" w:firstRow="1" w:lastRow="0" w:firstColumn="1" w:lastColumn="0" w:noHBand="0" w:noVBand="1"/>
      </w:tblPr>
      <w:tblGrid>
        <w:gridCol w:w="1838"/>
        <w:gridCol w:w="3824"/>
        <w:gridCol w:w="3689"/>
      </w:tblGrid>
      <w:tr w:rsidR="003B18D2" w:rsidRPr="00DA0A64" w14:paraId="6FD61F6B" w14:textId="77777777" w:rsidTr="0066385E">
        <w:tc>
          <w:tcPr>
            <w:tcW w:w="1838" w:type="dxa"/>
            <w:shd w:val="clear" w:color="auto" w:fill="auto"/>
          </w:tcPr>
          <w:p w14:paraId="536689F8" w14:textId="77777777" w:rsidR="00FC08A2" w:rsidRPr="00DA0A64" w:rsidRDefault="00FC08A2" w:rsidP="0066385E">
            <w:pPr>
              <w:autoSpaceDE w:val="0"/>
              <w:autoSpaceDN w:val="0"/>
              <w:adjustRightInd w:val="0"/>
              <w:jc w:val="center"/>
              <w:rPr>
                <w:rFonts w:cs="Arial"/>
                <w:szCs w:val="20"/>
              </w:rPr>
            </w:pPr>
            <w:r w:rsidRPr="00DA0A64">
              <w:rPr>
                <w:rFonts w:cs="Arial"/>
                <w:bCs/>
                <w:szCs w:val="20"/>
              </w:rPr>
              <w:t>CONCEITO</w:t>
            </w:r>
          </w:p>
        </w:tc>
        <w:tc>
          <w:tcPr>
            <w:tcW w:w="3824" w:type="dxa"/>
            <w:shd w:val="clear" w:color="auto" w:fill="auto"/>
          </w:tcPr>
          <w:p w14:paraId="1FC7D29A" w14:textId="77777777" w:rsidR="00FC08A2" w:rsidRPr="00DA0A64" w:rsidRDefault="00FC08A2" w:rsidP="0066385E">
            <w:pPr>
              <w:autoSpaceDE w:val="0"/>
              <w:autoSpaceDN w:val="0"/>
              <w:adjustRightInd w:val="0"/>
              <w:jc w:val="center"/>
              <w:rPr>
                <w:rFonts w:cs="Arial"/>
                <w:szCs w:val="20"/>
              </w:rPr>
            </w:pPr>
            <w:r w:rsidRPr="00DA0A64">
              <w:rPr>
                <w:rFonts w:cs="Arial"/>
                <w:bCs/>
                <w:szCs w:val="20"/>
              </w:rPr>
              <w:t>PONTUAÇÃO TOTAL</w:t>
            </w:r>
          </w:p>
        </w:tc>
        <w:tc>
          <w:tcPr>
            <w:tcW w:w="3689" w:type="dxa"/>
            <w:shd w:val="clear" w:color="auto" w:fill="auto"/>
          </w:tcPr>
          <w:p w14:paraId="4FE719D0" w14:textId="77777777" w:rsidR="00FC08A2" w:rsidRPr="00DA0A64" w:rsidRDefault="00FC08A2" w:rsidP="0066385E">
            <w:pPr>
              <w:autoSpaceDE w:val="0"/>
              <w:autoSpaceDN w:val="0"/>
              <w:adjustRightInd w:val="0"/>
              <w:jc w:val="center"/>
              <w:rPr>
                <w:rFonts w:cs="Arial"/>
                <w:szCs w:val="20"/>
              </w:rPr>
            </w:pPr>
            <w:r w:rsidRPr="00DA0A64">
              <w:rPr>
                <w:rFonts w:cs="Arial"/>
                <w:bCs/>
                <w:szCs w:val="20"/>
              </w:rPr>
              <w:t>PERCENTUAL DE GLOSA DA FATURA MENSAL</w:t>
            </w:r>
          </w:p>
        </w:tc>
      </w:tr>
      <w:tr w:rsidR="003B18D2" w:rsidRPr="00DA0A64" w14:paraId="657E1566" w14:textId="77777777" w:rsidTr="0066385E">
        <w:tc>
          <w:tcPr>
            <w:tcW w:w="1838" w:type="dxa"/>
            <w:shd w:val="clear" w:color="auto" w:fill="auto"/>
          </w:tcPr>
          <w:p w14:paraId="04804A6E" w14:textId="77777777" w:rsidR="00FC08A2" w:rsidRPr="00DA0A64" w:rsidRDefault="00FC08A2" w:rsidP="0066385E">
            <w:pPr>
              <w:autoSpaceDE w:val="0"/>
              <w:autoSpaceDN w:val="0"/>
              <w:adjustRightInd w:val="0"/>
              <w:jc w:val="center"/>
              <w:rPr>
                <w:rFonts w:cs="Arial"/>
                <w:szCs w:val="20"/>
              </w:rPr>
            </w:pPr>
            <w:r w:rsidRPr="00DA0A64">
              <w:rPr>
                <w:rFonts w:cs="Arial"/>
                <w:szCs w:val="20"/>
              </w:rPr>
              <w:t>A</w:t>
            </w:r>
          </w:p>
        </w:tc>
        <w:tc>
          <w:tcPr>
            <w:tcW w:w="3824" w:type="dxa"/>
            <w:shd w:val="clear" w:color="auto" w:fill="auto"/>
          </w:tcPr>
          <w:p w14:paraId="48B4097E" w14:textId="77777777" w:rsidR="00FC08A2" w:rsidRPr="00DA0A64" w:rsidRDefault="00FC08A2" w:rsidP="0066385E">
            <w:pPr>
              <w:autoSpaceDE w:val="0"/>
              <w:autoSpaceDN w:val="0"/>
              <w:adjustRightInd w:val="0"/>
              <w:jc w:val="both"/>
              <w:rPr>
                <w:rFonts w:cs="Arial"/>
                <w:szCs w:val="20"/>
              </w:rPr>
            </w:pPr>
            <w:r w:rsidRPr="00DA0A64">
              <w:rPr>
                <w:rFonts w:cs="Arial"/>
                <w:szCs w:val="20"/>
              </w:rPr>
              <w:t>Maior ou igual a 96</w:t>
            </w:r>
          </w:p>
        </w:tc>
        <w:tc>
          <w:tcPr>
            <w:tcW w:w="3689" w:type="dxa"/>
            <w:shd w:val="clear" w:color="auto" w:fill="auto"/>
          </w:tcPr>
          <w:p w14:paraId="3DDD1511" w14:textId="77777777" w:rsidR="00FC08A2" w:rsidRPr="00DA0A64" w:rsidRDefault="00FC08A2" w:rsidP="0066385E">
            <w:pPr>
              <w:autoSpaceDE w:val="0"/>
              <w:autoSpaceDN w:val="0"/>
              <w:adjustRightInd w:val="0"/>
              <w:jc w:val="center"/>
              <w:rPr>
                <w:rFonts w:cs="Arial"/>
                <w:szCs w:val="20"/>
              </w:rPr>
            </w:pPr>
            <w:r w:rsidRPr="00DA0A64">
              <w:rPr>
                <w:rFonts w:cs="Arial"/>
                <w:szCs w:val="20"/>
              </w:rPr>
              <w:t>-</w:t>
            </w:r>
          </w:p>
        </w:tc>
      </w:tr>
      <w:tr w:rsidR="003B18D2" w:rsidRPr="00DA0A64" w14:paraId="6C2C2BCF" w14:textId="77777777" w:rsidTr="0066385E">
        <w:tc>
          <w:tcPr>
            <w:tcW w:w="1838" w:type="dxa"/>
            <w:shd w:val="clear" w:color="auto" w:fill="auto"/>
          </w:tcPr>
          <w:p w14:paraId="3107DD4C" w14:textId="77777777" w:rsidR="00FC08A2" w:rsidRPr="00DA0A64" w:rsidRDefault="00FC08A2" w:rsidP="0066385E">
            <w:pPr>
              <w:autoSpaceDE w:val="0"/>
              <w:autoSpaceDN w:val="0"/>
              <w:adjustRightInd w:val="0"/>
              <w:jc w:val="center"/>
              <w:rPr>
                <w:rFonts w:cs="Arial"/>
                <w:szCs w:val="20"/>
              </w:rPr>
            </w:pPr>
            <w:r w:rsidRPr="00DA0A64">
              <w:rPr>
                <w:rFonts w:cs="Arial"/>
                <w:szCs w:val="20"/>
              </w:rPr>
              <w:t>B</w:t>
            </w:r>
          </w:p>
        </w:tc>
        <w:tc>
          <w:tcPr>
            <w:tcW w:w="3824" w:type="dxa"/>
            <w:shd w:val="clear" w:color="auto" w:fill="auto"/>
          </w:tcPr>
          <w:p w14:paraId="15C16E06" w14:textId="77777777" w:rsidR="00FC08A2" w:rsidRPr="00DA0A64" w:rsidRDefault="00FC08A2" w:rsidP="0066385E">
            <w:pPr>
              <w:autoSpaceDE w:val="0"/>
              <w:autoSpaceDN w:val="0"/>
              <w:adjustRightInd w:val="0"/>
              <w:jc w:val="both"/>
              <w:rPr>
                <w:rFonts w:cs="Arial"/>
                <w:szCs w:val="20"/>
              </w:rPr>
            </w:pPr>
            <w:r w:rsidRPr="00DA0A64">
              <w:rPr>
                <w:rFonts w:cs="Arial"/>
                <w:szCs w:val="20"/>
              </w:rPr>
              <w:t>Maior que 90 e menor que 96</w:t>
            </w:r>
          </w:p>
        </w:tc>
        <w:tc>
          <w:tcPr>
            <w:tcW w:w="3689" w:type="dxa"/>
            <w:shd w:val="clear" w:color="auto" w:fill="auto"/>
          </w:tcPr>
          <w:p w14:paraId="38A6A59C" w14:textId="77777777" w:rsidR="00FC08A2" w:rsidRPr="00DA0A64" w:rsidRDefault="00FC08A2" w:rsidP="0066385E">
            <w:pPr>
              <w:autoSpaceDE w:val="0"/>
              <w:autoSpaceDN w:val="0"/>
              <w:adjustRightInd w:val="0"/>
              <w:jc w:val="center"/>
              <w:rPr>
                <w:rFonts w:cs="Arial"/>
                <w:szCs w:val="20"/>
              </w:rPr>
            </w:pPr>
            <w:r w:rsidRPr="00DA0A64">
              <w:rPr>
                <w:rFonts w:cs="Arial"/>
                <w:szCs w:val="20"/>
              </w:rPr>
              <w:t>2,00%</w:t>
            </w:r>
          </w:p>
        </w:tc>
      </w:tr>
      <w:tr w:rsidR="003B18D2" w:rsidRPr="00DA0A64" w14:paraId="26D89AC7" w14:textId="77777777" w:rsidTr="0066385E">
        <w:tc>
          <w:tcPr>
            <w:tcW w:w="1838" w:type="dxa"/>
            <w:shd w:val="clear" w:color="auto" w:fill="auto"/>
          </w:tcPr>
          <w:p w14:paraId="759991BE" w14:textId="77777777" w:rsidR="00FC08A2" w:rsidRPr="00DA0A64" w:rsidRDefault="00FC08A2" w:rsidP="0066385E">
            <w:pPr>
              <w:autoSpaceDE w:val="0"/>
              <w:autoSpaceDN w:val="0"/>
              <w:adjustRightInd w:val="0"/>
              <w:jc w:val="center"/>
              <w:rPr>
                <w:rFonts w:cs="Arial"/>
                <w:szCs w:val="20"/>
              </w:rPr>
            </w:pPr>
            <w:r w:rsidRPr="00DA0A64">
              <w:rPr>
                <w:rFonts w:cs="Arial"/>
                <w:szCs w:val="20"/>
              </w:rPr>
              <w:t>C</w:t>
            </w:r>
          </w:p>
        </w:tc>
        <w:tc>
          <w:tcPr>
            <w:tcW w:w="3824" w:type="dxa"/>
            <w:shd w:val="clear" w:color="auto" w:fill="auto"/>
          </w:tcPr>
          <w:p w14:paraId="1F791572" w14:textId="77777777" w:rsidR="00FC08A2" w:rsidRPr="00DA0A64" w:rsidRDefault="00FC08A2" w:rsidP="0066385E">
            <w:pPr>
              <w:autoSpaceDE w:val="0"/>
              <w:autoSpaceDN w:val="0"/>
              <w:adjustRightInd w:val="0"/>
              <w:jc w:val="both"/>
              <w:rPr>
                <w:rFonts w:cs="Arial"/>
                <w:szCs w:val="20"/>
              </w:rPr>
            </w:pPr>
            <w:r w:rsidRPr="00DA0A64">
              <w:rPr>
                <w:rFonts w:cs="Arial"/>
                <w:szCs w:val="20"/>
              </w:rPr>
              <w:t>Maior que 84 e menor que 90</w:t>
            </w:r>
          </w:p>
        </w:tc>
        <w:tc>
          <w:tcPr>
            <w:tcW w:w="3689" w:type="dxa"/>
            <w:shd w:val="clear" w:color="auto" w:fill="auto"/>
          </w:tcPr>
          <w:p w14:paraId="03386DCA" w14:textId="77777777" w:rsidR="00FC08A2" w:rsidRPr="00DA0A64" w:rsidRDefault="00FC08A2" w:rsidP="0066385E">
            <w:pPr>
              <w:autoSpaceDE w:val="0"/>
              <w:autoSpaceDN w:val="0"/>
              <w:adjustRightInd w:val="0"/>
              <w:jc w:val="center"/>
              <w:rPr>
                <w:rFonts w:cs="Arial"/>
                <w:szCs w:val="20"/>
              </w:rPr>
            </w:pPr>
            <w:r w:rsidRPr="00DA0A64">
              <w:rPr>
                <w:rFonts w:cs="Arial"/>
                <w:szCs w:val="20"/>
              </w:rPr>
              <w:t>3,00%</w:t>
            </w:r>
          </w:p>
        </w:tc>
      </w:tr>
      <w:tr w:rsidR="003B18D2" w:rsidRPr="00DA0A64" w14:paraId="168800A7" w14:textId="77777777" w:rsidTr="0066385E">
        <w:tc>
          <w:tcPr>
            <w:tcW w:w="1838" w:type="dxa"/>
            <w:shd w:val="clear" w:color="auto" w:fill="auto"/>
          </w:tcPr>
          <w:p w14:paraId="5EB68734" w14:textId="77777777" w:rsidR="00FC08A2" w:rsidRPr="00DA0A64" w:rsidRDefault="00FC08A2" w:rsidP="0066385E">
            <w:pPr>
              <w:autoSpaceDE w:val="0"/>
              <w:autoSpaceDN w:val="0"/>
              <w:adjustRightInd w:val="0"/>
              <w:jc w:val="center"/>
              <w:rPr>
                <w:rFonts w:cs="Arial"/>
                <w:szCs w:val="20"/>
              </w:rPr>
            </w:pPr>
            <w:r w:rsidRPr="00DA0A64">
              <w:rPr>
                <w:rFonts w:cs="Arial"/>
                <w:szCs w:val="20"/>
              </w:rPr>
              <w:t>D</w:t>
            </w:r>
          </w:p>
        </w:tc>
        <w:tc>
          <w:tcPr>
            <w:tcW w:w="3824" w:type="dxa"/>
            <w:shd w:val="clear" w:color="auto" w:fill="auto"/>
          </w:tcPr>
          <w:p w14:paraId="1B6DCE9A" w14:textId="77777777" w:rsidR="00FC08A2" w:rsidRPr="00DA0A64" w:rsidRDefault="00FC08A2" w:rsidP="0066385E">
            <w:pPr>
              <w:autoSpaceDE w:val="0"/>
              <w:autoSpaceDN w:val="0"/>
              <w:adjustRightInd w:val="0"/>
              <w:jc w:val="both"/>
              <w:rPr>
                <w:rFonts w:cs="Arial"/>
                <w:szCs w:val="20"/>
              </w:rPr>
            </w:pPr>
            <w:r w:rsidRPr="00DA0A64">
              <w:rPr>
                <w:rFonts w:cs="Arial"/>
                <w:szCs w:val="20"/>
              </w:rPr>
              <w:t>Menor ou igual a 84</w:t>
            </w:r>
          </w:p>
        </w:tc>
        <w:tc>
          <w:tcPr>
            <w:tcW w:w="3689" w:type="dxa"/>
            <w:shd w:val="clear" w:color="auto" w:fill="auto"/>
          </w:tcPr>
          <w:p w14:paraId="5E9BB552" w14:textId="77777777" w:rsidR="00FC08A2" w:rsidRPr="00DA0A64" w:rsidRDefault="00FC08A2" w:rsidP="0066385E">
            <w:pPr>
              <w:autoSpaceDE w:val="0"/>
              <w:autoSpaceDN w:val="0"/>
              <w:adjustRightInd w:val="0"/>
              <w:jc w:val="center"/>
              <w:rPr>
                <w:rFonts w:cs="Arial"/>
                <w:szCs w:val="20"/>
              </w:rPr>
            </w:pPr>
            <w:r w:rsidRPr="00DA0A64">
              <w:rPr>
                <w:rFonts w:cs="Arial"/>
                <w:szCs w:val="20"/>
              </w:rPr>
              <w:t>4,00%</w:t>
            </w:r>
          </w:p>
        </w:tc>
      </w:tr>
    </w:tbl>
    <w:p w14:paraId="66AD8A21" w14:textId="77777777" w:rsidR="007B7E1C" w:rsidRPr="00DC6AE3" w:rsidRDefault="007B7E1C" w:rsidP="008005F5">
      <w:pPr>
        <w:pStyle w:val="PargrafodaLista"/>
        <w:keepNext/>
        <w:keepLines/>
        <w:numPr>
          <w:ilvl w:val="1"/>
          <w:numId w:val="4"/>
        </w:numPr>
        <w:spacing w:before="120" w:after="120" w:line="276" w:lineRule="auto"/>
        <w:contextualSpacing w:val="0"/>
        <w:jc w:val="both"/>
        <w:outlineLvl w:val="0"/>
        <w:rPr>
          <w:rFonts w:eastAsiaTheme="majorEastAsia" w:cs="Arial"/>
          <w:b/>
          <w:bCs/>
          <w:vanish/>
          <w:color w:val="FF0000"/>
          <w:szCs w:val="20"/>
        </w:rPr>
      </w:pPr>
    </w:p>
    <w:p w14:paraId="08710AA4" w14:textId="77777777" w:rsidR="00822758" w:rsidRPr="007229EB" w:rsidRDefault="00822758" w:rsidP="000D390A">
      <w:pPr>
        <w:pStyle w:val="Nivel1"/>
        <w:rPr>
          <w:rFonts w:cs="Arial"/>
          <w:color w:val="auto"/>
          <w:sz w:val="22"/>
          <w:szCs w:val="22"/>
        </w:rPr>
      </w:pPr>
      <w:bookmarkStart w:id="1" w:name="_Hlk528056197"/>
      <w:r w:rsidRPr="007229EB">
        <w:rPr>
          <w:rFonts w:cs="Arial"/>
          <w:color w:val="auto"/>
          <w:sz w:val="22"/>
          <w:szCs w:val="22"/>
        </w:rPr>
        <w:t>MATERIAIS A SEREM DISPONIBILIZADOS</w:t>
      </w:r>
    </w:p>
    <w:p w14:paraId="00EF7D37" w14:textId="1B980749" w:rsidR="00E66BA6" w:rsidRPr="007229EB" w:rsidRDefault="00E66BA6" w:rsidP="00E66BA6">
      <w:pPr>
        <w:numPr>
          <w:ilvl w:val="1"/>
          <w:numId w:val="1"/>
        </w:numPr>
        <w:spacing w:before="120" w:after="120" w:line="276" w:lineRule="auto"/>
        <w:ind w:left="284" w:firstLine="0"/>
        <w:jc w:val="both"/>
        <w:rPr>
          <w:rFonts w:cs="Arial"/>
          <w:sz w:val="22"/>
          <w:szCs w:val="22"/>
        </w:rPr>
      </w:pPr>
      <w:r w:rsidRPr="007229EB">
        <w:rPr>
          <w:rFonts w:cs="Arial"/>
          <w:sz w:val="22"/>
          <w:szCs w:val="22"/>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7EA34745" w14:textId="680F9EAF" w:rsidR="00E66BA6" w:rsidRPr="007229EB" w:rsidRDefault="00E66BA6" w:rsidP="00E66BA6">
      <w:pPr>
        <w:numPr>
          <w:ilvl w:val="1"/>
          <w:numId w:val="1"/>
        </w:numPr>
        <w:spacing w:before="120" w:after="120" w:line="276" w:lineRule="auto"/>
        <w:ind w:left="284" w:firstLine="0"/>
        <w:jc w:val="both"/>
        <w:rPr>
          <w:rFonts w:cs="Arial"/>
          <w:sz w:val="22"/>
          <w:szCs w:val="22"/>
        </w:rPr>
      </w:pPr>
      <w:r w:rsidRPr="007229EB">
        <w:rPr>
          <w:rFonts w:cs="Arial"/>
          <w:sz w:val="22"/>
          <w:szCs w:val="22"/>
        </w:rPr>
        <w:t>A empresa CONTRATADA deverá dispor de caminhão fechado c</w:t>
      </w:r>
      <w:r w:rsidR="007229EB" w:rsidRPr="007229EB">
        <w:rPr>
          <w:rFonts w:cs="Arial"/>
          <w:sz w:val="22"/>
          <w:szCs w:val="22"/>
        </w:rPr>
        <w:t>ompatível com a demanda contratada,</w:t>
      </w:r>
      <w:r w:rsidRPr="007229EB">
        <w:rPr>
          <w:rFonts w:cs="Arial"/>
          <w:sz w:val="22"/>
          <w:szCs w:val="22"/>
        </w:rPr>
        <w:t xml:space="preserve"> para realizar a mudança preterida.</w:t>
      </w:r>
    </w:p>
    <w:p w14:paraId="58F22D48" w14:textId="77777777" w:rsidR="00E66BA6" w:rsidRPr="007229EB" w:rsidRDefault="00E66BA6" w:rsidP="00E66BA6">
      <w:pPr>
        <w:numPr>
          <w:ilvl w:val="1"/>
          <w:numId w:val="1"/>
        </w:numPr>
        <w:spacing w:before="120" w:after="120" w:line="276" w:lineRule="auto"/>
        <w:ind w:left="284" w:firstLine="0"/>
        <w:jc w:val="both"/>
        <w:rPr>
          <w:rFonts w:cs="Arial"/>
          <w:sz w:val="22"/>
          <w:szCs w:val="22"/>
        </w:rPr>
      </w:pPr>
      <w:r w:rsidRPr="007229EB">
        <w:rPr>
          <w:rFonts w:cs="Arial"/>
          <w:sz w:val="22"/>
          <w:szCs w:val="22"/>
        </w:rPr>
        <w:t>O caminhão deverá estar regular em todas as exigências legais e físicas para que minimize os riscos de acidentes e interdições.</w:t>
      </w:r>
    </w:p>
    <w:p w14:paraId="5DC01B44" w14:textId="77777777" w:rsidR="00E66BA6" w:rsidRPr="007229EB" w:rsidRDefault="00E66BA6" w:rsidP="00E66BA6">
      <w:pPr>
        <w:numPr>
          <w:ilvl w:val="1"/>
          <w:numId w:val="1"/>
        </w:numPr>
        <w:spacing w:before="120" w:after="120" w:line="276" w:lineRule="auto"/>
        <w:ind w:left="284" w:firstLine="0"/>
        <w:jc w:val="both"/>
        <w:rPr>
          <w:rFonts w:cs="Arial"/>
          <w:sz w:val="22"/>
          <w:szCs w:val="22"/>
        </w:rPr>
      </w:pPr>
      <w:r w:rsidRPr="007229EB">
        <w:rPr>
          <w:rFonts w:cs="Arial"/>
          <w:sz w:val="22"/>
          <w:szCs w:val="22"/>
        </w:rPr>
        <w:t>Utilizar caminhão e materiais para embalar a mobília/bagagem, de acordo com as exigências constantes neste termo de referência, quando possível.</w:t>
      </w:r>
    </w:p>
    <w:bookmarkEnd w:id="1"/>
    <w:p w14:paraId="01554741" w14:textId="77777777" w:rsidR="00DB206B" w:rsidRPr="007229EB" w:rsidRDefault="00DB206B" w:rsidP="000D390A">
      <w:pPr>
        <w:pStyle w:val="Nivel1"/>
        <w:rPr>
          <w:rFonts w:cs="Arial"/>
          <w:color w:val="auto"/>
          <w:sz w:val="22"/>
          <w:szCs w:val="22"/>
        </w:rPr>
      </w:pPr>
      <w:r w:rsidRPr="007229EB">
        <w:rPr>
          <w:rFonts w:cs="Arial"/>
          <w:color w:val="auto"/>
          <w:sz w:val="22"/>
          <w:szCs w:val="22"/>
        </w:rPr>
        <w:t xml:space="preserve">OBRIGAÇÕES DA </w:t>
      </w:r>
      <w:r w:rsidR="00D52359" w:rsidRPr="007229EB">
        <w:rPr>
          <w:rFonts w:cs="Arial"/>
          <w:color w:val="auto"/>
          <w:sz w:val="22"/>
          <w:szCs w:val="22"/>
        </w:rPr>
        <w:t>CONTRATANTE</w:t>
      </w:r>
    </w:p>
    <w:p w14:paraId="3F9B2F6D" w14:textId="77777777"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E</w:t>
      </w:r>
      <w:r w:rsidR="00DB206B" w:rsidRPr="007229EB">
        <w:rPr>
          <w:rFonts w:eastAsiaTheme="minorHAnsi" w:cs="Arial"/>
          <w:sz w:val="22"/>
          <w:szCs w:val="22"/>
          <w:lang w:eastAsia="en-US"/>
        </w:rPr>
        <w:t xml:space="preserve">xigir o cumprimento de todas as obrigações assumidas pela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de acordo com as cláusulas contratuais e os termos de sua proposta;</w:t>
      </w:r>
    </w:p>
    <w:p w14:paraId="3F7745E3" w14:textId="77777777"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E</w:t>
      </w:r>
      <w:r w:rsidR="00DB206B" w:rsidRPr="007229EB">
        <w:rPr>
          <w:rFonts w:eastAsiaTheme="minorHAnsi" w:cs="Arial"/>
          <w:sz w:val="22"/>
          <w:szCs w:val="22"/>
          <w:lang w:eastAsia="en-US"/>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421A77C"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N</w:t>
      </w:r>
      <w:r w:rsidR="00DB206B" w:rsidRPr="007229EB">
        <w:rPr>
          <w:rFonts w:eastAsiaTheme="minorHAnsi" w:cs="Arial"/>
          <w:sz w:val="22"/>
          <w:szCs w:val="22"/>
          <w:lang w:eastAsia="en-US"/>
        </w:rPr>
        <w:t xml:space="preserve">otificar 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xml:space="preserve"> por escrito da ocorrência de eventuais imperfeições</w:t>
      </w:r>
      <w:r w:rsidR="001C3AB6" w:rsidRPr="007229EB">
        <w:rPr>
          <w:rFonts w:eastAsiaTheme="minorHAnsi" w:cs="Arial"/>
          <w:sz w:val="22"/>
          <w:szCs w:val="22"/>
          <w:lang w:eastAsia="en-US"/>
        </w:rPr>
        <w:t>, falhas ou irregularidades constatadas</w:t>
      </w:r>
      <w:r w:rsidR="00DB206B" w:rsidRPr="007229EB">
        <w:rPr>
          <w:rFonts w:eastAsiaTheme="minorHAnsi" w:cs="Arial"/>
          <w:sz w:val="22"/>
          <w:szCs w:val="22"/>
          <w:lang w:eastAsia="en-US"/>
        </w:rPr>
        <w:t xml:space="preserve"> no curso da execução dos serviços, fixando prazo para a sua correção</w:t>
      </w:r>
      <w:r w:rsidR="001C3AB6" w:rsidRPr="007229EB">
        <w:rPr>
          <w:rFonts w:eastAsiaTheme="minorHAnsi" w:cs="Arial"/>
          <w:sz w:val="22"/>
          <w:szCs w:val="22"/>
          <w:lang w:eastAsia="en-US"/>
        </w:rPr>
        <w:t>, certificando-se que as soluções por ela propostas sejam as mais adequadas</w:t>
      </w:r>
      <w:r w:rsidR="00DB206B" w:rsidRPr="007229EB">
        <w:rPr>
          <w:rFonts w:eastAsiaTheme="minorHAnsi" w:cs="Arial"/>
          <w:sz w:val="22"/>
          <w:szCs w:val="22"/>
          <w:lang w:eastAsia="en-US"/>
        </w:rPr>
        <w:t>;</w:t>
      </w:r>
    </w:p>
    <w:p w14:paraId="1BEF3E23" w14:textId="47B567BA"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P</w:t>
      </w:r>
      <w:r w:rsidR="00DB206B" w:rsidRPr="007229EB">
        <w:rPr>
          <w:rFonts w:eastAsiaTheme="minorHAnsi" w:cs="Arial"/>
          <w:sz w:val="22"/>
          <w:szCs w:val="22"/>
          <w:lang w:eastAsia="en-US"/>
        </w:rPr>
        <w:t xml:space="preserve">agar à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xml:space="preserve"> o valor resultante da prestação do serviço, </w:t>
      </w:r>
      <w:r w:rsidR="00F37721" w:rsidRPr="007229EB">
        <w:rPr>
          <w:rFonts w:eastAsiaTheme="minorHAnsi" w:cs="Arial"/>
          <w:sz w:val="22"/>
          <w:szCs w:val="22"/>
          <w:lang w:eastAsia="en-US"/>
        </w:rPr>
        <w:t>no pr</w:t>
      </w:r>
      <w:r w:rsidR="001C3AB6" w:rsidRPr="007229EB">
        <w:rPr>
          <w:rFonts w:eastAsiaTheme="minorHAnsi" w:cs="Arial"/>
          <w:sz w:val="22"/>
          <w:szCs w:val="22"/>
          <w:lang w:eastAsia="en-US"/>
        </w:rPr>
        <w:t>azo e condições estabelecidas neste Termo de Referência</w:t>
      </w:r>
      <w:r w:rsidR="00DB206B" w:rsidRPr="007229EB">
        <w:rPr>
          <w:rFonts w:eastAsiaTheme="minorHAnsi" w:cs="Arial"/>
          <w:sz w:val="22"/>
          <w:szCs w:val="22"/>
          <w:lang w:eastAsia="en-US"/>
        </w:rPr>
        <w:t>;</w:t>
      </w:r>
    </w:p>
    <w:p w14:paraId="442F73D8" w14:textId="4B687D5B" w:rsidR="00E251E0" w:rsidRPr="007229EB" w:rsidRDefault="00E251E0"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 xml:space="preserve">Efetuar as retenções tributárias devidas sobre o valor da </w:t>
      </w:r>
      <w:r w:rsidR="00F627B5" w:rsidRPr="007229EB">
        <w:rPr>
          <w:rFonts w:eastAsiaTheme="minorHAnsi" w:cs="Arial"/>
          <w:sz w:val="22"/>
          <w:szCs w:val="22"/>
          <w:lang w:eastAsia="en-US"/>
        </w:rPr>
        <w:t>Nota Fiscal/F</w:t>
      </w:r>
      <w:r w:rsidR="00DA520E" w:rsidRPr="007229EB">
        <w:rPr>
          <w:rFonts w:eastAsiaTheme="minorHAnsi" w:cs="Arial"/>
          <w:sz w:val="22"/>
          <w:szCs w:val="22"/>
          <w:lang w:eastAsia="en-US"/>
        </w:rPr>
        <w:t xml:space="preserve">atura da contratada, </w:t>
      </w:r>
      <w:r w:rsidR="004E0CC8" w:rsidRPr="007229EB">
        <w:rPr>
          <w:rFonts w:eastAsiaTheme="minorHAnsi" w:cs="Arial"/>
          <w:sz w:val="22"/>
          <w:szCs w:val="22"/>
          <w:lang w:eastAsia="en-US"/>
        </w:rPr>
        <w:t xml:space="preserve">no que couber, </w:t>
      </w:r>
      <w:r w:rsidR="00DA520E" w:rsidRPr="007229EB">
        <w:rPr>
          <w:rFonts w:eastAsiaTheme="minorHAnsi" w:cs="Arial"/>
          <w:sz w:val="22"/>
          <w:szCs w:val="22"/>
          <w:lang w:eastAsia="en-US"/>
        </w:rPr>
        <w:t>em conformidade com</w:t>
      </w:r>
      <w:r w:rsidR="004E0CC8" w:rsidRPr="007229EB">
        <w:rPr>
          <w:rFonts w:eastAsiaTheme="minorHAnsi" w:cs="Arial"/>
          <w:sz w:val="22"/>
          <w:szCs w:val="22"/>
          <w:lang w:eastAsia="en-US"/>
        </w:rPr>
        <w:t xml:space="preserve"> o item 6 do Anexo XI da IN SEGES/</w:t>
      </w:r>
      <w:r w:rsidR="003C58CC" w:rsidRPr="007229EB">
        <w:rPr>
          <w:rFonts w:eastAsiaTheme="minorHAnsi" w:cs="Arial"/>
          <w:sz w:val="22"/>
          <w:szCs w:val="22"/>
          <w:lang w:eastAsia="en-US"/>
        </w:rPr>
        <w:t>MP</w:t>
      </w:r>
      <w:r w:rsidR="004E0CC8" w:rsidRPr="007229EB">
        <w:rPr>
          <w:rFonts w:eastAsiaTheme="minorHAnsi" w:cs="Arial"/>
          <w:sz w:val="22"/>
          <w:szCs w:val="22"/>
          <w:lang w:eastAsia="en-US"/>
        </w:rPr>
        <w:t xml:space="preserve"> n. 5/2017</w:t>
      </w:r>
      <w:r w:rsidR="00DA520E" w:rsidRPr="007229EB">
        <w:rPr>
          <w:rFonts w:eastAsiaTheme="minorHAnsi" w:cs="Arial"/>
          <w:sz w:val="22"/>
          <w:szCs w:val="22"/>
          <w:lang w:eastAsia="en-US"/>
        </w:rPr>
        <w:t>.</w:t>
      </w:r>
    </w:p>
    <w:p w14:paraId="6B7C08F9" w14:textId="77777777"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N</w:t>
      </w:r>
      <w:r w:rsidR="00DB206B" w:rsidRPr="007229EB">
        <w:rPr>
          <w:rFonts w:eastAsiaTheme="minorHAnsi" w:cs="Arial"/>
          <w:sz w:val="22"/>
          <w:szCs w:val="22"/>
          <w:lang w:eastAsia="en-US"/>
        </w:rPr>
        <w:t xml:space="preserve">ão praticar atos de ingerência na administração da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tais como:</w:t>
      </w:r>
    </w:p>
    <w:p w14:paraId="10711AB1" w14:textId="5E7B4BBB" w:rsidR="00DB206B" w:rsidRPr="007229EB"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7229EB">
        <w:rPr>
          <w:rFonts w:eastAsiaTheme="minorHAnsi" w:cs="Arial"/>
          <w:sz w:val="22"/>
          <w:szCs w:val="22"/>
          <w:lang w:eastAsia="en-US"/>
        </w:rPr>
        <w:t>E</w:t>
      </w:r>
      <w:r w:rsidR="00DB206B" w:rsidRPr="007229EB">
        <w:rPr>
          <w:rFonts w:eastAsiaTheme="minorHAnsi" w:cs="Arial"/>
          <w:sz w:val="22"/>
          <w:szCs w:val="22"/>
          <w:lang w:eastAsia="en-US"/>
        </w:rPr>
        <w:t xml:space="preserve">xercer o poder de mando sobre os empregados da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devendo reportar-se somente aos prepostos ou responsáveis por ela indicados, exceto quando o objeto da contratação previr o atendimento direto, tais como nos serviços de recepção e apoio ao usuário;</w:t>
      </w:r>
    </w:p>
    <w:p w14:paraId="5E19B0DF" w14:textId="144E83A7" w:rsidR="00DB206B" w:rsidRPr="007229EB"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7229EB">
        <w:rPr>
          <w:rFonts w:eastAsiaTheme="minorHAnsi" w:cs="Arial"/>
          <w:sz w:val="22"/>
          <w:szCs w:val="22"/>
          <w:lang w:eastAsia="en-US"/>
        </w:rPr>
        <w:t>D</w:t>
      </w:r>
      <w:r w:rsidR="00DB206B" w:rsidRPr="007229EB">
        <w:rPr>
          <w:rFonts w:eastAsiaTheme="minorHAnsi" w:cs="Arial"/>
          <w:sz w:val="22"/>
          <w:szCs w:val="22"/>
          <w:lang w:eastAsia="en-US"/>
        </w:rPr>
        <w:t xml:space="preserve">irecionar a contratação de pessoas para trabalhar nas empresas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s;</w:t>
      </w:r>
    </w:p>
    <w:p w14:paraId="1AA33A2C" w14:textId="35FB52E9" w:rsidR="00DB206B" w:rsidRPr="007229EB"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7229EB">
        <w:rPr>
          <w:rFonts w:eastAsiaTheme="minorHAnsi" w:cs="Arial"/>
          <w:sz w:val="22"/>
          <w:szCs w:val="22"/>
          <w:lang w:eastAsia="en-US"/>
        </w:rPr>
        <w:t>P</w:t>
      </w:r>
      <w:r w:rsidR="00DB206B" w:rsidRPr="007229EB">
        <w:rPr>
          <w:rFonts w:eastAsiaTheme="minorHAnsi" w:cs="Arial"/>
          <w:sz w:val="22"/>
          <w:szCs w:val="22"/>
          <w:lang w:eastAsia="en-US"/>
        </w:rPr>
        <w:t xml:space="preserve">romover ou aceitar o desvio de funções dos trabalhadores da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mediante a utilização destes em atividades distintas daquelas previstas no objeto da contratação e em relação à função específica para a qual o trabalhador foi contratado; e</w:t>
      </w:r>
    </w:p>
    <w:p w14:paraId="22E85C5E" w14:textId="2A5E6B89" w:rsidR="003B11C6" w:rsidRPr="007229EB" w:rsidRDefault="00776AC4"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C</w:t>
      </w:r>
      <w:r w:rsidR="00DB206B" w:rsidRPr="007229EB">
        <w:rPr>
          <w:rFonts w:eastAsiaTheme="minorHAnsi" w:cs="Arial"/>
          <w:sz w:val="22"/>
          <w:szCs w:val="22"/>
          <w:lang w:eastAsia="en-US"/>
        </w:rPr>
        <w:t xml:space="preserve">onsiderar os trabalhadores da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xml:space="preserve"> como colaboradores eventuais do próprio órgão ou entidade responsável pela contratação, especialmente para efeito de concessão de diárias e passagens.</w:t>
      </w:r>
    </w:p>
    <w:p w14:paraId="7818EF07" w14:textId="77777777" w:rsidR="001C3AB6" w:rsidRPr="007229EB" w:rsidRDefault="001C3AB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Fornecer por escrito as informações necessárias para o desenvolvimento dos serviços objeto do contrato;</w:t>
      </w:r>
    </w:p>
    <w:p w14:paraId="6F96C63B" w14:textId="6106FCD3" w:rsidR="001C3AB6" w:rsidRPr="007229EB" w:rsidRDefault="001C3AB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Realizar avaliaç</w:t>
      </w:r>
      <w:r w:rsidR="000A1D53" w:rsidRPr="007229EB">
        <w:rPr>
          <w:rFonts w:eastAsiaTheme="minorHAnsi" w:cs="Arial"/>
          <w:sz w:val="22"/>
          <w:szCs w:val="22"/>
          <w:lang w:eastAsia="en-US"/>
        </w:rPr>
        <w:t>ão</w:t>
      </w:r>
      <w:r w:rsidRPr="007229EB">
        <w:rPr>
          <w:rFonts w:eastAsiaTheme="minorHAnsi" w:cs="Arial"/>
          <w:sz w:val="22"/>
          <w:szCs w:val="22"/>
          <w:lang w:eastAsia="en-US"/>
        </w:rPr>
        <w:t xml:space="preserve"> da qualidade dos serviços, após seu recebimento;</w:t>
      </w:r>
    </w:p>
    <w:p w14:paraId="063FB036" w14:textId="77777777" w:rsidR="001C3AB6" w:rsidRPr="007229EB" w:rsidRDefault="001C3AB6"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 xml:space="preserve">Cientificar o órgão de representação judicial da Advocacia-Geral da União para adoção das medidas cabíveis quando do descumprimento das obrigações pela Contratada; </w:t>
      </w:r>
    </w:p>
    <w:p w14:paraId="4053225A" w14:textId="77777777" w:rsidR="00ED53EE" w:rsidRPr="007229E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Emitir nota de empenho, ou qualquer outro documento equivalente, com todas as informações necessárias para a perfeita execução dos serviços, por intermédio de servidor responsável pela fiscalização dos serviços;</w:t>
      </w:r>
    </w:p>
    <w:p w14:paraId="5059BDB9" w14:textId="77777777" w:rsidR="00ED53EE" w:rsidRPr="007229E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Permitir ao pessoal técnico da empresa, livre acesso a materiais e mobiliários, de modo a viabilizar a prestação dos serviços;</w:t>
      </w:r>
    </w:p>
    <w:p w14:paraId="57351A32" w14:textId="77777777" w:rsidR="00ED53EE" w:rsidRPr="007229E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Prestar todas as informações essenciais para a perfeita execução dos serviços, tais como: tipo de materiais a transportar, endereços de origem e destino e quaisquer outras que se fizerem necessários;</w:t>
      </w:r>
    </w:p>
    <w:p w14:paraId="0BC89E7E" w14:textId="77777777" w:rsidR="00ED53EE" w:rsidRPr="007229E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Proporcionar todas as facilidades para que a Contratada possa desempenhar seus serviços, dentro das normas constantes neste Termo de Referência;</w:t>
      </w:r>
    </w:p>
    <w:p w14:paraId="2A74FF5F" w14:textId="5DA48E4E" w:rsidR="00ED53EE" w:rsidRPr="00BF0CB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 xml:space="preserve">Promover o acompanhamento e fiscalização do cumprimento do objeto, sob os aspectos quantitativo e qualitativo, podendo sustar, recusar, mandar fazer ou desfazer qualquer serviço que </w:t>
      </w:r>
      <w:r w:rsidRPr="00BF0CBB">
        <w:rPr>
          <w:rFonts w:eastAsiaTheme="minorHAnsi" w:cs="Arial"/>
          <w:sz w:val="22"/>
          <w:szCs w:val="22"/>
          <w:lang w:eastAsia="en-US"/>
        </w:rPr>
        <w:t>não esteja de acordo com as normas, especificações e técnic</w:t>
      </w:r>
      <w:r w:rsidR="00CF734A" w:rsidRPr="00BF0CBB">
        <w:rPr>
          <w:rFonts w:eastAsiaTheme="minorHAnsi" w:cs="Arial"/>
          <w:sz w:val="22"/>
          <w:szCs w:val="22"/>
          <w:lang w:eastAsia="en-US"/>
        </w:rPr>
        <w:t>as estabelecidas em seus anexos.</w:t>
      </w:r>
    </w:p>
    <w:p w14:paraId="0E7FD243" w14:textId="2658ACC1" w:rsidR="00DB206B" w:rsidRPr="00BF0CBB" w:rsidRDefault="00DB206B" w:rsidP="000D390A">
      <w:pPr>
        <w:pStyle w:val="Nivel1"/>
        <w:rPr>
          <w:rFonts w:cs="Arial"/>
          <w:color w:val="auto"/>
          <w:sz w:val="22"/>
          <w:szCs w:val="22"/>
        </w:rPr>
      </w:pPr>
      <w:r w:rsidRPr="00BF0CBB">
        <w:rPr>
          <w:rFonts w:cs="Arial"/>
          <w:color w:val="auto"/>
          <w:sz w:val="22"/>
          <w:szCs w:val="22"/>
        </w:rPr>
        <w:t xml:space="preserve">OBRIGAÇÕES DA </w:t>
      </w:r>
      <w:r w:rsidR="00D52359" w:rsidRPr="00BF0CBB">
        <w:rPr>
          <w:rFonts w:cs="Arial"/>
          <w:color w:val="auto"/>
          <w:sz w:val="22"/>
          <w:szCs w:val="22"/>
        </w:rPr>
        <w:t>CONTRATADA</w:t>
      </w:r>
    </w:p>
    <w:p w14:paraId="58B1FCDE" w14:textId="26F059D2" w:rsidR="00DB206B"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E</w:t>
      </w:r>
      <w:r w:rsidR="00DB206B" w:rsidRPr="00BF0CBB">
        <w:rPr>
          <w:rFonts w:eastAsiaTheme="minorHAnsi" w:cs="Arial"/>
          <w:sz w:val="22"/>
          <w:szCs w:val="22"/>
          <w:lang w:eastAsia="en-US"/>
        </w:rPr>
        <w:t>xecutar os serviços conforme especificações deste Termo de Referência e de sua proposta, com a alocação dos empregados necessários ao perfeito cumprimento das cláusulas contratuais, além de fornecer</w:t>
      </w:r>
      <w:r w:rsidR="001D6D07" w:rsidRPr="00BF0CBB">
        <w:rPr>
          <w:rFonts w:eastAsiaTheme="minorHAnsi" w:cs="Arial"/>
          <w:sz w:val="22"/>
          <w:szCs w:val="22"/>
          <w:lang w:eastAsia="en-US"/>
        </w:rPr>
        <w:t xml:space="preserve"> e utilizar</w:t>
      </w:r>
      <w:r w:rsidR="00DB206B" w:rsidRPr="00BF0CBB">
        <w:rPr>
          <w:rFonts w:eastAsiaTheme="minorHAnsi" w:cs="Arial"/>
          <w:sz w:val="22"/>
          <w:szCs w:val="22"/>
          <w:lang w:eastAsia="en-US"/>
        </w:rPr>
        <w:t xml:space="preserve"> os materiais e equipamentos, ferramentas e utensílios necessários, na qualidade e quantidade</w:t>
      </w:r>
      <w:r w:rsidR="001D6D07" w:rsidRPr="00BF0CBB">
        <w:rPr>
          <w:rFonts w:eastAsiaTheme="minorHAnsi" w:cs="Arial"/>
          <w:sz w:val="22"/>
          <w:szCs w:val="22"/>
          <w:lang w:eastAsia="en-US"/>
        </w:rPr>
        <w:t xml:space="preserve"> mínimas</w:t>
      </w:r>
      <w:r w:rsidR="00DB206B" w:rsidRPr="00BF0CBB">
        <w:rPr>
          <w:rFonts w:eastAsiaTheme="minorHAnsi" w:cs="Arial"/>
          <w:sz w:val="22"/>
          <w:szCs w:val="22"/>
          <w:lang w:eastAsia="en-US"/>
        </w:rPr>
        <w:t xml:space="preserve"> especificadas neste Termo de Referência e em sua proposta;</w:t>
      </w:r>
    </w:p>
    <w:p w14:paraId="7B44165A" w14:textId="371BEC14" w:rsidR="00350762"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w:t>
      </w:r>
      <w:r w:rsidR="00DB206B" w:rsidRPr="00BF0CBB">
        <w:rPr>
          <w:rFonts w:eastAsiaTheme="minorHAnsi" w:cs="Arial"/>
          <w:sz w:val="22"/>
          <w:szCs w:val="22"/>
          <w:lang w:eastAsia="en-US"/>
        </w:rPr>
        <w:t xml:space="preserve">eparar, corrigir, remover ou substituir, às suas expensas, no total ou em parte, no prazo </w:t>
      </w:r>
      <w:r w:rsidR="00F37721" w:rsidRPr="00BF0CBB">
        <w:rPr>
          <w:rFonts w:eastAsiaTheme="minorHAnsi" w:cs="Arial"/>
          <w:sz w:val="22"/>
          <w:szCs w:val="22"/>
          <w:lang w:eastAsia="en-US"/>
        </w:rPr>
        <w:t>fixado pelo fiscal do contrato</w:t>
      </w:r>
      <w:r w:rsidR="00DB206B" w:rsidRPr="00BF0CBB">
        <w:rPr>
          <w:rFonts w:eastAsiaTheme="minorHAnsi" w:cs="Arial"/>
          <w:sz w:val="22"/>
          <w:szCs w:val="22"/>
          <w:lang w:eastAsia="en-US"/>
        </w:rPr>
        <w:t>, os serviços efetuados em que se verificarem vícios, defeitos ou incorreções resultantes da execução ou dos materiais empregados;</w:t>
      </w:r>
    </w:p>
    <w:p w14:paraId="046F9782" w14:textId="22A813D6" w:rsidR="00DB206B"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w:t>
      </w:r>
      <w:r w:rsidR="00DB206B" w:rsidRPr="00BF0CBB">
        <w:rPr>
          <w:rFonts w:eastAsiaTheme="minorHAnsi" w:cs="Arial"/>
          <w:sz w:val="22"/>
          <w:szCs w:val="22"/>
          <w:lang w:eastAsia="en-US"/>
        </w:rPr>
        <w:t>esponsabilizar-se pelos vícios e danos decorrentes d</w:t>
      </w:r>
      <w:r w:rsidR="00F37721" w:rsidRPr="00BF0CBB">
        <w:rPr>
          <w:rFonts w:eastAsiaTheme="minorHAnsi" w:cs="Arial"/>
          <w:sz w:val="22"/>
          <w:szCs w:val="22"/>
          <w:lang w:eastAsia="en-US"/>
        </w:rPr>
        <w:t>a execução d</w:t>
      </w:r>
      <w:r w:rsidR="00DB206B" w:rsidRPr="00BF0CBB">
        <w:rPr>
          <w:rFonts w:eastAsiaTheme="minorHAnsi" w:cs="Arial"/>
          <w:sz w:val="22"/>
          <w:szCs w:val="22"/>
          <w:lang w:eastAsia="en-US"/>
        </w:rPr>
        <w:t xml:space="preserve">o objeto, </w:t>
      </w:r>
      <w:r w:rsidR="001D6D07" w:rsidRPr="00BF0CBB">
        <w:rPr>
          <w:rFonts w:eastAsiaTheme="minorHAnsi" w:cs="Arial"/>
          <w:sz w:val="22"/>
          <w:szCs w:val="22"/>
          <w:lang w:eastAsia="en-US"/>
        </w:rPr>
        <w:t xml:space="preserve">bem como por todo e qualquer dano causado à União ou à entidade federal, devendo ressarcir imediatamente a Administração em sua integralidade, </w:t>
      </w:r>
      <w:r w:rsidR="00F37721" w:rsidRPr="00BF0CBB">
        <w:rPr>
          <w:rFonts w:eastAsiaTheme="minorHAnsi" w:cs="Arial"/>
          <w:sz w:val="22"/>
          <w:szCs w:val="22"/>
          <w:lang w:eastAsia="en-US"/>
        </w:rPr>
        <w:t xml:space="preserve">ficando a </w:t>
      </w:r>
      <w:r w:rsidR="00D52359" w:rsidRPr="00BF0CBB">
        <w:rPr>
          <w:rFonts w:eastAsiaTheme="minorHAnsi" w:cs="Arial"/>
          <w:sz w:val="22"/>
          <w:szCs w:val="22"/>
          <w:lang w:eastAsia="en-US"/>
        </w:rPr>
        <w:t>Contratante</w:t>
      </w:r>
      <w:r w:rsidR="00F37721" w:rsidRPr="00BF0CBB">
        <w:rPr>
          <w:rFonts w:eastAsiaTheme="minorHAnsi" w:cs="Arial"/>
          <w:sz w:val="22"/>
          <w:szCs w:val="22"/>
          <w:lang w:eastAsia="en-US"/>
        </w:rPr>
        <w:t xml:space="preserve"> autorizada a descontar da garantia, caso exigida no edital, ou dos pagamentos devidos à </w:t>
      </w:r>
      <w:r w:rsidR="00D52359" w:rsidRPr="00BF0CBB">
        <w:rPr>
          <w:rFonts w:eastAsiaTheme="minorHAnsi" w:cs="Arial"/>
          <w:sz w:val="22"/>
          <w:szCs w:val="22"/>
          <w:lang w:eastAsia="en-US"/>
        </w:rPr>
        <w:t>Contratada</w:t>
      </w:r>
      <w:r w:rsidR="00F37721" w:rsidRPr="00BF0CBB">
        <w:rPr>
          <w:rFonts w:eastAsiaTheme="minorHAnsi" w:cs="Arial"/>
          <w:sz w:val="22"/>
          <w:szCs w:val="22"/>
          <w:lang w:eastAsia="en-US"/>
        </w:rPr>
        <w:t>, o valor correspondente aos danos sofridos</w:t>
      </w:r>
      <w:r w:rsidR="00DB206B" w:rsidRPr="00BF0CBB">
        <w:rPr>
          <w:rFonts w:eastAsiaTheme="minorHAnsi" w:cs="Arial"/>
          <w:sz w:val="22"/>
          <w:szCs w:val="22"/>
          <w:lang w:eastAsia="en-US"/>
        </w:rPr>
        <w:t>;</w:t>
      </w:r>
    </w:p>
    <w:p w14:paraId="4813FFD0" w14:textId="77777777" w:rsidR="00DB206B"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U</w:t>
      </w:r>
      <w:r w:rsidR="00DB206B" w:rsidRPr="00BF0CBB">
        <w:rPr>
          <w:rFonts w:eastAsiaTheme="minorHAnsi" w:cs="Arial"/>
          <w:sz w:val="22"/>
          <w:szCs w:val="22"/>
          <w:lang w:eastAsia="en-US"/>
        </w:rPr>
        <w:t xml:space="preserve">tilizar empregados habilitados e com conhecimentos básicos dos serviços a serem </w:t>
      </w:r>
      <w:r w:rsidR="00FE5B7C" w:rsidRPr="00BF0CBB">
        <w:rPr>
          <w:rFonts w:eastAsiaTheme="minorHAnsi" w:cs="Arial"/>
          <w:sz w:val="22"/>
          <w:szCs w:val="22"/>
          <w:lang w:eastAsia="en-US"/>
        </w:rPr>
        <w:t>exe</w:t>
      </w:r>
      <w:r w:rsidR="00DB206B" w:rsidRPr="00BF0CBB">
        <w:rPr>
          <w:rFonts w:eastAsiaTheme="minorHAnsi" w:cs="Arial"/>
          <w:sz w:val="22"/>
          <w:szCs w:val="22"/>
          <w:lang w:eastAsia="en-US"/>
        </w:rPr>
        <w:t>cutados, e</w:t>
      </w:r>
      <w:r w:rsidR="00F37721" w:rsidRPr="00BF0CBB">
        <w:rPr>
          <w:rFonts w:eastAsiaTheme="minorHAnsi" w:cs="Arial"/>
          <w:sz w:val="22"/>
          <w:szCs w:val="22"/>
          <w:lang w:eastAsia="en-US"/>
        </w:rPr>
        <w:t>m</w:t>
      </w:r>
      <w:r w:rsidR="00DB206B" w:rsidRPr="00BF0CBB">
        <w:rPr>
          <w:rFonts w:eastAsiaTheme="minorHAnsi" w:cs="Arial"/>
          <w:sz w:val="22"/>
          <w:szCs w:val="22"/>
          <w:lang w:eastAsia="en-US"/>
        </w:rPr>
        <w:t xml:space="preserve"> conformidade com as normas e determinações em vigor;</w:t>
      </w:r>
    </w:p>
    <w:p w14:paraId="4249A122" w14:textId="5328F0D9" w:rsidR="00DB206B"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V</w:t>
      </w:r>
      <w:r w:rsidR="00DB206B" w:rsidRPr="00BF0CBB">
        <w:rPr>
          <w:rFonts w:eastAsiaTheme="minorHAnsi" w:cs="Arial"/>
          <w:sz w:val="22"/>
          <w:szCs w:val="22"/>
          <w:lang w:eastAsia="en-US"/>
        </w:rPr>
        <w:t xml:space="preserve">edar a utilização, na execução dos serviços, de empregado que seja familiar de agente público ocupante de cargo em comissão ou função de confiança no órgão </w:t>
      </w:r>
      <w:r w:rsidR="00D52359" w:rsidRPr="00BF0CBB">
        <w:rPr>
          <w:rFonts w:eastAsiaTheme="minorHAnsi" w:cs="Arial"/>
          <w:sz w:val="22"/>
          <w:szCs w:val="22"/>
          <w:lang w:eastAsia="en-US"/>
        </w:rPr>
        <w:t>Contratante</w:t>
      </w:r>
      <w:r w:rsidR="00DB206B" w:rsidRPr="00BF0CBB">
        <w:rPr>
          <w:rFonts w:eastAsiaTheme="minorHAnsi" w:cs="Arial"/>
          <w:sz w:val="22"/>
          <w:szCs w:val="22"/>
          <w:lang w:eastAsia="en-US"/>
        </w:rPr>
        <w:t>, nos termos do artigo 7° do Decreto n° 7.203, de 2010</w:t>
      </w:r>
      <w:r w:rsidR="00F53E2A" w:rsidRPr="00BF0CBB">
        <w:rPr>
          <w:rFonts w:eastAsiaTheme="minorHAnsi" w:cs="Arial"/>
          <w:sz w:val="22"/>
          <w:szCs w:val="22"/>
          <w:lang w:eastAsia="en-US"/>
        </w:rPr>
        <w:t>;</w:t>
      </w:r>
    </w:p>
    <w:p w14:paraId="4E105AA5" w14:textId="72BD90E4" w:rsidR="00647983" w:rsidRPr="00BF0CBB" w:rsidRDefault="00647983"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Quando não for possível a verificação da regularidade no Sistema de Cadastro de Fornecedores – </w:t>
      </w:r>
      <w:r w:rsidR="003C58CC" w:rsidRPr="00BF0CBB">
        <w:rPr>
          <w:rFonts w:eastAsiaTheme="minorHAnsi" w:cs="Arial"/>
          <w:sz w:val="22"/>
          <w:szCs w:val="22"/>
          <w:lang w:eastAsia="en-US"/>
        </w:rPr>
        <w:t>SICAF</w:t>
      </w:r>
      <w:r w:rsidRPr="00BF0CBB">
        <w:rPr>
          <w:rFonts w:eastAsiaTheme="minorHAnsi" w:cs="Arial"/>
          <w:sz w:val="22"/>
          <w:szCs w:val="22"/>
          <w:lang w:eastAsia="en-US"/>
        </w:rPr>
        <w:t>, a empresa contratada deverá entregar ao setor responsável pela fiscalizaç</w:t>
      </w:r>
      <w:r w:rsidR="0066385E" w:rsidRPr="00BF0CBB">
        <w:rPr>
          <w:rFonts w:eastAsiaTheme="minorHAnsi" w:cs="Arial"/>
          <w:sz w:val="22"/>
          <w:szCs w:val="22"/>
          <w:lang w:eastAsia="en-US"/>
        </w:rPr>
        <w:t xml:space="preserve">ão do contrato </w:t>
      </w:r>
      <w:r w:rsidRPr="00BF0CBB">
        <w:rPr>
          <w:rFonts w:eastAsiaTheme="minorHAnsi" w:cs="Arial"/>
          <w:sz w:val="22"/>
          <w:szCs w:val="22"/>
          <w:lang w:eastAsia="en-US"/>
        </w:rPr>
        <w:t xml:space="preserve">os seguintes documentos: 1) prova de regularidade relativa à Seguridade Social; 2) certidão conjunta relativa aos tributos federais e à Dívida Ativa da União; 3) certidões que comprovem a regularidade perante a Fazenda Municipal </w:t>
      </w:r>
      <w:r w:rsidR="00875A25" w:rsidRPr="00BF0CBB">
        <w:rPr>
          <w:rFonts w:eastAsiaTheme="minorHAnsi" w:cs="Arial"/>
          <w:sz w:val="22"/>
          <w:szCs w:val="22"/>
          <w:lang w:eastAsia="en-US"/>
        </w:rPr>
        <w:t xml:space="preserve">ou Distrital </w:t>
      </w:r>
      <w:r w:rsidRPr="00BF0CBB">
        <w:rPr>
          <w:rFonts w:eastAsiaTheme="minorHAnsi" w:cs="Arial"/>
          <w:sz w:val="22"/>
          <w:szCs w:val="22"/>
          <w:lang w:eastAsia="en-US"/>
        </w:rPr>
        <w:t>do domicílio ou sede do contratado; 4) Certidão de Regularidade do FGTS – CRF; e 5) Certidão Negativa de Débitos Trabalhistas – CNDT</w:t>
      </w:r>
      <w:r w:rsidR="000D04A9" w:rsidRPr="00BF0CBB">
        <w:rPr>
          <w:rFonts w:eastAsiaTheme="minorHAnsi" w:cs="Arial"/>
          <w:sz w:val="22"/>
          <w:szCs w:val="22"/>
          <w:lang w:eastAsia="en-US"/>
        </w:rPr>
        <w:t>, conforme alínea "c" do item 10.2 do Anexo VIII-B da IN SEGES/</w:t>
      </w:r>
      <w:r w:rsidR="003C58CC" w:rsidRPr="00BF0CBB">
        <w:rPr>
          <w:rFonts w:eastAsiaTheme="minorHAnsi" w:cs="Arial"/>
          <w:sz w:val="22"/>
          <w:szCs w:val="22"/>
          <w:lang w:eastAsia="en-US"/>
        </w:rPr>
        <w:t>MP</w:t>
      </w:r>
      <w:r w:rsidR="000D04A9" w:rsidRPr="00BF0CBB">
        <w:rPr>
          <w:rFonts w:eastAsiaTheme="minorHAnsi" w:cs="Arial"/>
          <w:sz w:val="22"/>
          <w:szCs w:val="22"/>
          <w:lang w:eastAsia="en-US"/>
        </w:rPr>
        <w:t xml:space="preserve"> n. 5/2017</w:t>
      </w:r>
      <w:r w:rsidRPr="00BF0CBB">
        <w:rPr>
          <w:rFonts w:eastAsiaTheme="minorHAnsi" w:cs="Arial"/>
          <w:sz w:val="22"/>
          <w:szCs w:val="22"/>
          <w:lang w:eastAsia="en-US"/>
        </w:rPr>
        <w:t>;</w:t>
      </w:r>
    </w:p>
    <w:p w14:paraId="6A8095C6" w14:textId="1E34778C" w:rsidR="003C4698" w:rsidRPr="00BF0CBB" w:rsidRDefault="00A340C0"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77777777" w:rsidR="001D6D07" w:rsidRPr="00BF0CBB" w:rsidRDefault="001D6D07"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Comunicar ao Fiscal do contrato, no prazo de 24 (vinte e quatro) horas, qualquer ocorrência anormal ou acidente que se verifique no local dos serviços.</w:t>
      </w:r>
    </w:p>
    <w:p w14:paraId="40D36C95" w14:textId="77777777" w:rsidR="001D6D07" w:rsidRPr="00BF0CBB" w:rsidRDefault="001D6D07"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BF0CBB"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Paralisar, por determinação da Contratante, qualquer atividade que não esteja sendo executada de acordo com a boa técnica ou que ponha em risco a segurança de pessoas ou bens de terceiros.</w:t>
      </w:r>
    </w:p>
    <w:p w14:paraId="4AA42F38" w14:textId="120714C7" w:rsidR="001D6D07" w:rsidRPr="00BF0CBB"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Promover a guarda, manutenção e vigilância de materiais, ferramentas, e tudo o que for necessário à execução dos serviços, durante a vigência do contrato.</w:t>
      </w:r>
    </w:p>
    <w:p w14:paraId="42104800" w14:textId="77777777"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Submeter previamente, por escrito, à Contratante, para análise e aprovação, quaisquer mudanças nos métodos executivos que fujam às especificações do memorial descritivo.</w:t>
      </w:r>
    </w:p>
    <w:p w14:paraId="2628376A" w14:textId="09F96075" w:rsidR="00DB206B" w:rsidRPr="00BF0CBB" w:rsidRDefault="00A36676"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w:t>
      </w:r>
      <w:r w:rsidR="00DB206B" w:rsidRPr="00BF0CBB">
        <w:rPr>
          <w:rFonts w:eastAsiaTheme="minorHAnsi" w:cs="Arial"/>
          <w:sz w:val="22"/>
          <w:szCs w:val="22"/>
          <w:lang w:eastAsia="en-US"/>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BF0CBB" w:rsidRDefault="00DB206B"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 </w:t>
      </w:r>
      <w:r w:rsidR="00A36676" w:rsidRPr="00BF0CBB">
        <w:rPr>
          <w:rFonts w:eastAsiaTheme="minorHAnsi" w:cs="Arial"/>
          <w:sz w:val="22"/>
          <w:szCs w:val="22"/>
          <w:lang w:eastAsia="en-US"/>
        </w:rPr>
        <w:t>M</w:t>
      </w:r>
      <w:r w:rsidRPr="00BF0CBB">
        <w:rPr>
          <w:rFonts w:eastAsiaTheme="minorHAnsi" w:cs="Arial"/>
          <w:sz w:val="22"/>
          <w:szCs w:val="22"/>
          <w:lang w:eastAsia="en-US"/>
        </w:rPr>
        <w:t>anter durante toda a vigência do contrato, em compatibilidade com as obrigações assumidas, todas as condições de habilitação e qualificação exigidas na licitação;</w:t>
      </w:r>
    </w:p>
    <w:p w14:paraId="0410D7EA" w14:textId="6A7F512D"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64E3428F" w14:textId="77777777" w:rsidR="00133136" w:rsidRPr="00BF0CBB" w:rsidRDefault="001449A3"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G</w:t>
      </w:r>
      <w:r w:rsidR="00133136" w:rsidRPr="00BF0CBB">
        <w:rPr>
          <w:rFonts w:eastAsiaTheme="minorHAnsi" w:cs="Arial"/>
          <w:sz w:val="22"/>
          <w:szCs w:val="22"/>
          <w:lang w:eastAsia="en-US"/>
        </w:rPr>
        <w:t>uardar sigilo sobre todas as informações obtidas em decorrência do cumprimento do contrato;</w:t>
      </w:r>
    </w:p>
    <w:p w14:paraId="2D89A960" w14:textId="670B18D1" w:rsidR="00DB206B" w:rsidRPr="00BF0CBB" w:rsidRDefault="00A36676"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w:t>
      </w:r>
      <w:r w:rsidR="00DB206B" w:rsidRPr="00BF0CBB">
        <w:rPr>
          <w:rFonts w:eastAsiaTheme="minorHAnsi" w:cs="Arial"/>
          <w:sz w:val="22"/>
          <w:szCs w:val="22"/>
          <w:lang w:eastAsia="en-US"/>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BF0CBB">
        <w:rPr>
          <w:rFonts w:eastAsiaTheme="minorHAnsi" w:cs="Arial"/>
          <w:sz w:val="22"/>
          <w:szCs w:val="22"/>
          <w:lang w:eastAsia="en-US"/>
        </w:rPr>
        <w:t>d</w:t>
      </w:r>
      <w:r w:rsidR="00DB206B" w:rsidRPr="00BF0CBB">
        <w:rPr>
          <w:rFonts w:eastAsiaTheme="minorHAnsi" w:cs="Arial"/>
          <w:sz w:val="22"/>
          <w:szCs w:val="22"/>
          <w:lang w:eastAsia="en-US"/>
        </w:rPr>
        <w:t>o objeto da licitação, exceto quando ocorrer algum dos eventos arrolados nos incisos do § 1º do art. 57 da Lei nº 8.666, de 1993.</w:t>
      </w:r>
    </w:p>
    <w:p w14:paraId="30A31AD5" w14:textId="127A7481" w:rsidR="001D6D07" w:rsidRPr="00BF0CBB"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Cumprir, além dos postulados legais vigentes de âmbito federal, estadual ou municipal, as normas de segurança da Contratante;</w:t>
      </w:r>
    </w:p>
    <w:p w14:paraId="7ED42165" w14:textId="6748CCEE" w:rsidR="001D6D07" w:rsidRPr="00BF0CBB"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5EF869B" w14:textId="77777777"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Assegurar à CONTRATANTE, em conformidade com o previsto no subitem 6.1, “a”e “b”, do Anexo VII – F da Instrução Normativa SEGES/MP nº 5, de 25/05/2017:</w:t>
      </w:r>
    </w:p>
    <w:p w14:paraId="59A2CECE" w14:textId="77777777" w:rsidR="006F426A" w:rsidRPr="00BF0CBB" w:rsidRDefault="006F426A" w:rsidP="00EA1C03">
      <w:pPr>
        <w:numPr>
          <w:ilvl w:val="2"/>
          <w:numId w:val="1"/>
        </w:numPr>
        <w:tabs>
          <w:tab w:val="left" w:pos="1701"/>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F40043E" w14:textId="1FB6669D" w:rsidR="006F426A" w:rsidRPr="00BF0CBB" w:rsidRDefault="006F426A" w:rsidP="00EA1C03">
      <w:pPr>
        <w:numPr>
          <w:ilvl w:val="2"/>
          <w:numId w:val="1"/>
        </w:numPr>
        <w:tabs>
          <w:tab w:val="left" w:pos="1701"/>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250E8E4"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Apresentar os empregados devidamente uniformizados e identificados por meio de crachá, além de provê-los com os Equipamentos de Proteção Individual - EPI, quando for o caso;</w:t>
      </w:r>
    </w:p>
    <w:p w14:paraId="350337D7"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Apresentar à Contratante, quando for o caso, a relação nominal dos empregados que executarão o serviço;</w:t>
      </w:r>
    </w:p>
    <w:p w14:paraId="5781F1B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2F240088"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Obter todo o tipo de licença junto aos órgãos fiscalizadores (guias e demais documentos necessários) para a perfeita execução do transporte;</w:t>
      </w:r>
    </w:p>
    <w:p w14:paraId="13353A93"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Manter um Diário de Ocorrência no percurso autorizado, relativo aos serviços de transporte, que servira de balizamento para soluções de quaisquer problemas eventualmente ocorridos por ocasião do transporte;</w:t>
      </w:r>
    </w:p>
    <w:p w14:paraId="7C14D2B8"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Responsabilizar-se por todas as despesas, tais como: impostos, taxas, seguro, embalagens, mão-de-obra, licenças, alvarás, bem como todos os encargos trabalhistas, previdenciários, fiscais e comerciais, ou quaisquer outras formas devidas relativas e indispensáveis à perfeita execução do objeto do presente no Termo de Referência;</w:t>
      </w:r>
    </w:p>
    <w:p w14:paraId="45E4DB53"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Responsabilizar-se por todo e qualquer dano que venha causar durante a execução dos serviços nos locais de origem e destino (vidros, pisos, revestimentos, paredes, aparelhos, veículos, etc.), assumindo o ônus e a execução dos respectivos reparos ou substituições, recompondo os locais porventura afetados com materiais similares sempre observando o bom nível de acabamento dos serviços;</w:t>
      </w:r>
    </w:p>
    <w:p w14:paraId="77BECA01" w14:textId="3120AADA"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Reparar, corrigir, reconstruir ou indenizar, às suas expensas, no todo ou em parte, quaisquer mobiliários, cargas e volumes em geral de propriedade da U</w:t>
      </w:r>
      <w:r w:rsidR="007229EB" w:rsidRPr="00BF0CBB">
        <w:rPr>
          <w:rFonts w:eastAsiaTheme="minorHAnsi" w:cs="Arial"/>
          <w:sz w:val="22"/>
          <w:szCs w:val="22"/>
          <w:lang w:eastAsia="en-US"/>
        </w:rPr>
        <w:t>nidade</w:t>
      </w:r>
      <w:r w:rsidRPr="00BF0CBB">
        <w:rPr>
          <w:rFonts w:eastAsiaTheme="minorHAnsi" w:cs="Arial"/>
          <w:sz w:val="22"/>
          <w:szCs w:val="22"/>
          <w:lang w:eastAsia="en-US"/>
        </w:rPr>
        <w:t xml:space="preserve"> R</w:t>
      </w:r>
      <w:r w:rsidR="007229EB" w:rsidRPr="00BF0CBB">
        <w:rPr>
          <w:rFonts w:eastAsiaTheme="minorHAnsi" w:cs="Arial"/>
          <w:sz w:val="22"/>
          <w:szCs w:val="22"/>
          <w:lang w:eastAsia="en-US"/>
        </w:rPr>
        <w:t>egional de</w:t>
      </w:r>
      <w:r w:rsidRPr="00BF0CBB">
        <w:rPr>
          <w:rFonts w:eastAsiaTheme="minorHAnsi" w:cs="Arial"/>
          <w:sz w:val="22"/>
          <w:szCs w:val="22"/>
          <w:lang w:eastAsia="en-US"/>
        </w:rPr>
        <w:t xml:space="preserve"> </w:t>
      </w:r>
      <w:r w:rsidR="00BE0E2A">
        <w:rPr>
          <w:rFonts w:eastAsiaTheme="minorHAnsi" w:cs="Arial"/>
          <w:sz w:val="22"/>
          <w:szCs w:val="22"/>
          <w:lang w:eastAsia="en-US"/>
        </w:rPr>
        <w:t>Porto Alegre</w:t>
      </w:r>
      <w:r w:rsidRPr="00BF0CBB">
        <w:rPr>
          <w:rFonts w:eastAsiaTheme="minorHAnsi" w:cs="Arial"/>
          <w:sz w:val="22"/>
          <w:szCs w:val="22"/>
          <w:lang w:eastAsia="en-US"/>
        </w:rPr>
        <w:t xml:space="preserve"> em que se verifiquem danos em decorrência do transporte, bem como providenciar a substituição dos mesmos no prazo de 48 horas, contados na notificação que Ihe será entregue;</w:t>
      </w:r>
    </w:p>
    <w:p w14:paraId="6D5873C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prazo previsto no subitem anterior poderá ser dilatado, desde que acordado entre a empresa e o fiscal do contrato e mediante a comprovação da impossibilidade do cumprimento do prazo inicialmente estabelecido;</w:t>
      </w:r>
    </w:p>
    <w:p w14:paraId="755FB851"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Indenizar a contratante, no prazo máximo de 15 (quinze) dias, a contar da data de notificação, os danos causados aos mobiliários, cargas e volumes em geral de sua propriedade, que não possam ser reparados;</w:t>
      </w:r>
    </w:p>
    <w:p w14:paraId="742EFFD2"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Responsabilizar-se pela limpeza dos locais de origem e destino após a conclusão dos serviços, devendo ser retirados todos os detritos e embalagens utilizadas, exceto quando dispensado pelo interessado;</w:t>
      </w:r>
    </w:p>
    <w:p w14:paraId="4A1919FE"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Fornecer e exigir, quando necessário, o uso de equipamentos de proteção individual e coletivo adequado a todos os envolvidos no serviço;</w:t>
      </w:r>
    </w:p>
    <w:p w14:paraId="4007051B"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Fornecer todo material adequado para embalagem dos mobiliários, cargas e volumes em geral como: (caixas de papelão reforçado, papelão ondulado, fitas adesivas, etiquetas, sacos plásticos, etc.), de acordo com a natureza do material a ser transportado;</w:t>
      </w:r>
    </w:p>
    <w:p w14:paraId="685BC2DC"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Acatar todas as orientações da ANTAQ, sujeitando-se a mais ampla e irrestrita fiscalização, prestando todos os esclarecimentos solicitados e atendendo as reclamações formuladas;</w:t>
      </w:r>
    </w:p>
    <w:p w14:paraId="234F5AE6"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Responder pelos danos de qualquer natureza que venham a sofrer seus empregados, terceiros ou a ANTAQ, em razão de acidentes ou de ação ou omissão dolosa ou culposa de prepostos da Contratada ou de quem em seu nome agir;</w:t>
      </w:r>
    </w:p>
    <w:p w14:paraId="365EEF64"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Manter durante toda a vigência do contrato, em compatibilidade com as obrigações assumidas, todas as condições de habilitação exigidas na licitação, inclusive no que tange à vigência e validade das Apólices de Seguro -RCTR-C (Responsabilidade Civil do Transporte Rodoviário de Carga) e de RFC-DC (Responsabilidade Facultativa Civil do Transportador Rodoviário por Desaparecimento de Carga);</w:t>
      </w:r>
    </w:p>
    <w:p w14:paraId="73128DE4"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Utilizar, para fins de cálculo da quilometragem entre percursos, o Quadro de Distancias Rodoviárias, fornecido pelo DNIT -Departamento Nacional de Infraestrutura de Transporte;</w:t>
      </w:r>
    </w:p>
    <w:p w14:paraId="29DA575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Caso o local de origem/destino não conste no Quadro de Distancias Fornecido pelo DNIT, poderá ser utilizada informação fornecida por Órgão Oficial da União, Estados ou Municípios, ou ainda, o Guia Quatro Rodas;</w:t>
      </w:r>
    </w:p>
    <w:p w14:paraId="38568E96"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Verificar legislação local quanto a acesso e movimentação de cargas e caminhões nos locais de coleta e entrega da mudança;</w:t>
      </w:r>
    </w:p>
    <w:p w14:paraId="6BA8D75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Apresentar, junto com a fatura, quando for o caso, os comprovantes de quitação das indenizações pagas pelo extravio e/ou avarias dos mobiliários, cargas e volumes em geral de propriedade da Antaq sob sua responsabilidade ou prova de reposição desses bens;</w:t>
      </w:r>
    </w:p>
    <w:p w14:paraId="475B5145"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Apresentar, junto com a fatura/nota fiscal de prestação de serviços, além dos comprovantes de carga (s) realizada (s), a apólice ou averbação de seguro para cobertura da (s) carga (s) transportada (s) de acordo com o veículo utilizado e trecho de carga executado;</w:t>
      </w:r>
    </w:p>
    <w:p w14:paraId="1549A45A"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Efetuar a entrega dos mobiliários, cargas e volumes em geral da contratante, transportados no local de destino em perfeito estado, mediante recibo datado e assinado pelo servidor autorizada pela ANTAQ a receber os mobiliários, cargas e volumes em geral, contendo o atesto de que os serviços foram prestados de modo satisfatório;</w:t>
      </w:r>
    </w:p>
    <w:p w14:paraId="4532D3D5"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Efetuar os transportes de todos os mobiliários, cargas e volumes em geral de propriedade da ANTAQ em caminhão fechado, tipo baú, em perfeitas condições de funcionamento;</w:t>
      </w:r>
    </w:p>
    <w:p w14:paraId="49F562A0"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Assumir inteira responsabilidade pela integridade física dos mobiliários, cargas e volumes em geral de propriedade da contratante que lhe forem confiados para transporte, bem como por danos ou extravios causados aos mesmos, desde o recebimento dos mesmos até a entrega no destino, incluindo a montagem e desmontagem de moveis;</w:t>
      </w:r>
    </w:p>
    <w:p w14:paraId="65D58291"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Zelar para que sejam cumpridas as normas relativas à segurança e a prevenção de acidentes;</w:t>
      </w:r>
    </w:p>
    <w:p w14:paraId="4AFEEAD6"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Responsabilizar-se por quaisquer acidentes que venham a ser vítimas os seus empregados, quando em serviço, por tudo quanto às leis trabalhistas e previdenciárias que Ihes assegurem e demais exigências legais para o exercício das atividades;</w:t>
      </w:r>
    </w:p>
    <w:p w14:paraId="3083FEBE"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Assumir todas as responsabilidades de trafego (multas, pedágios, impostos, estacionamentos, taxas, etc);</w:t>
      </w:r>
    </w:p>
    <w:p w14:paraId="52D0812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Observar os regulamentos dos locais onde serão prestados os serviços, por ocasião da montagem e desmontagem do mobiliário;</w:t>
      </w:r>
    </w:p>
    <w:p w14:paraId="23F8D0D3"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Permitir que a ANTAQ realize, por meio de seus setores específicos, a fiscalização dos serviços, que obedecera às disposições da legislação que trata da matéria;</w:t>
      </w:r>
    </w:p>
    <w:p w14:paraId="1B7005F2"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Não transferir a outrem, no todo ou em parte, o objeto do Contrato, sem autorização previa e por escrito da ANTAQ;</w:t>
      </w:r>
    </w:p>
    <w:p w14:paraId="33A0DFD8"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Ser responsável por todas as despesas inerentes aos trabalhos contratados, inclusive as de pagamento de seguro contra acidentes de trabalho;</w:t>
      </w:r>
    </w:p>
    <w:p w14:paraId="3DB82D85"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Prestar todos os esclarecimentos que forem solicitados pela ANTAQ, cujas reclamações se obrigam prontamente a atender;</w:t>
      </w:r>
    </w:p>
    <w:p w14:paraId="5DB72F2A"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Atender as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7E36C99E" w14:textId="77777777" w:rsidR="00E014B9" w:rsidRPr="00BF0CBB" w:rsidRDefault="00E014B9" w:rsidP="006F426A">
      <w:pPr>
        <w:pStyle w:val="Nivel1"/>
        <w:rPr>
          <w:rFonts w:cs="Arial"/>
          <w:color w:val="auto"/>
          <w:sz w:val="22"/>
          <w:szCs w:val="22"/>
        </w:rPr>
      </w:pPr>
      <w:r w:rsidRPr="00BF0CBB">
        <w:rPr>
          <w:rFonts w:cs="Arial"/>
          <w:color w:val="auto"/>
          <w:sz w:val="22"/>
          <w:szCs w:val="22"/>
        </w:rPr>
        <w:t xml:space="preserve">DA SUBCONTRATAÇÃO  </w:t>
      </w:r>
    </w:p>
    <w:p w14:paraId="0520954A" w14:textId="77777777" w:rsidR="00E014B9" w:rsidRPr="00BF0CBB" w:rsidRDefault="00E014B9"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Não será admitida a subcontratação do objeto licitatório.</w:t>
      </w:r>
    </w:p>
    <w:p w14:paraId="5BC247FE" w14:textId="77777777" w:rsidR="00987810" w:rsidRPr="00BF0CBB" w:rsidRDefault="00987810" w:rsidP="000D390A">
      <w:pPr>
        <w:pStyle w:val="Nivel1"/>
        <w:rPr>
          <w:rFonts w:cs="Arial"/>
          <w:color w:val="auto"/>
          <w:sz w:val="22"/>
          <w:szCs w:val="22"/>
        </w:rPr>
      </w:pPr>
      <w:r w:rsidRPr="00BF0CBB">
        <w:rPr>
          <w:rFonts w:cs="Arial"/>
          <w:color w:val="auto"/>
          <w:sz w:val="22"/>
          <w:szCs w:val="22"/>
        </w:rPr>
        <w:t>ALTERAÇÃO SUBJETIVA</w:t>
      </w:r>
    </w:p>
    <w:p w14:paraId="4750CAD7" w14:textId="77777777" w:rsidR="00987810" w:rsidRPr="00BF0CBB" w:rsidRDefault="00987810"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BF0CBB" w:rsidRDefault="00052D53" w:rsidP="008B0C2F">
      <w:pPr>
        <w:pStyle w:val="Nivel1"/>
        <w:rPr>
          <w:rFonts w:cs="Arial"/>
          <w:color w:val="auto"/>
          <w:sz w:val="22"/>
          <w:szCs w:val="22"/>
        </w:rPr>
      </w:pPr>
      <w:r w:rsidRPr="00BF0CBB">
        <w:rPr>
          <w:rFonts w:cs="Arial"/>
          <w:color w:val="auto"/>
          <w:sz w:val="22"/>
          <w:szCs w:val="22"/>
        </w:rPr>
        <w:t xml:space="preserve">CONTROLE </w:t>
      </w:r>
      <w:r w:rsidR="00683E3C" w:rsidRPr="00BF0CBB">
        <w:rPr>
          <w:rFonts w:cs="Arial"/>
          <w:color w:val="auto"/>
          <w:sz w:val="22"/>
          <w:szCs w:val="22"/>
        </w:rPr>
        <w:t xml:space="preserve">E FISCALIZAÇÃO DA EXECUÇÃO </w:t>
      </w:r>
    </w:p>
    <w:p w14:paraId="41D62AE1"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5037DF6A"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representante da Contratante deverá ter a qualificação necessária para o acompanhamento e controle da execução dos serviços e do contrato.</w:t>
      </w:r>
    </w:p>
    <w:p w14:paraId="0A82D202"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verificação da adequação da prestação do serviço deverá ser realizada com base nos critérios previstos neste Termo de Referência.</w:t>
      </w:r>
    </w:p>
    <w:p w14:paraId="57BF4ACD"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65273C70" w:rsidR="0066759F" w:rsidRPr="00BF0CBB" w:rsidRDefault="00652668"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BF0CBB">
        <w:rPr>
          <w:rFonts w:eastAsiaTheme="minorHAnsi" w:cs="Arial"/>
          <w:sz w:val="22"/>
          <w:szCs w:val="22"/>
          <w:lang w:eastAsia="en-US"/>
        </w:rPr>
        <w:t>.</w:t>
      </w:r>
    </w:p>
    <w:p w14:paraId="32C741F0" w14:textId="6EE51F49" w:rsidR="00222D2F" w:rsidRPr="00BF0CBB" w:rsidRDefault="00052D53"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311B0E16" w:rsidR="00B032AB" w:rsidRPr="00BF0CBB" w:rsidRDefault="00B032AB"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fiscalização técnica dos contratos avaliará a execução do objeto e utilizará o Instrumento de Medição de Resultado (IMR), conforme modelo previsto no </w:t>
      </w:r>
      <w:r w:rsidR="003B18D2" w:rsidRPr="00BF0CBB">
        <w:rPr>
          <w:rFonts w:eastAsiaTheme="minorHAnsi" w:cs="Arial"/>
          <w:sz w:val="22"/>
          <w:szCs w:val="22"/>
          <w:lang w:eastAsia="en-US"/>
        </w:rPr>
        <w:t>item 8 deste termo de referência</w:t>
      </w:r>
      <w:r w:rsidRPr="00BF0CBB">
        <w:rPr>
          <w:rFonts w:eastAsiaTheme="minorHAnsi" w:cs="Arial"/>
          <w:sz w:val="22"/>
          <w:szCs w:val="22"/>
          <w:lang w:eastAsia="en-US"/>
        </w:rPr>
        <w:t>, ou outro</w:t>
      </w:r>
      <w:r w:rsidR="00CE1EEE" w:rsidRPr="00BF0CBB">
        <w:rPr>
          <w:rFonts w:eastAsiaTheme="minorHAnsi" w:cs="Arial"/>
          <w:sz w:val="22"/>
          <w:szCs w:val="22"/>
          <w:lang w:eastAsia="en-US"/>
        </w:rPr>
        <w:t xml:space="preserve"> </w:t>
      </w:r>
      <w:r w:rsidRPr="00BF0CBB">
        <w:rPr>
          <w:rFonts w:eastAsiaTheme="minorHAnsi" w:cs="Arial"/>
          <w:sz w:val="22"/>
          <w:szCs w:val="22"/>
          <w:lang w:eastAsia="en-US"/>
        </w:rPr>
        <w:t>instrumento substituto para aferição da qualidade da prestação dos serviços, devendo haver o redimensionamento no pagamento com base nos indicadores estabelecidos, sempre que a CONTRATADA:</w:t>
      </w:r>
    </w:p>
    <w:p w14:paraId="6C51B60B" w14:textId="77777777" w:rsidR="00680543" w:rsidRPr="00BF0CBB" w:rsidRDefault="00B032AB" w:rsidP="003B18D2">
      <w:pPr>
        <w:spacing w:before="120" w:after="120" w:line="276" w:lineRule="auto"/>
        <w:ind w:left="851"/>
        <w:jc w:val="both"/>
        <w:rPr>
          <w:rFonts w:cs="Arial"/>
          <w:sz w:val="22"/>
          <w:szCs w:val="22"/>
        </w:rPr>
      </w:pPr>
      <w:r w:rsidRPr="00BF0CBB">
        <w:rPr>
          <w:rFonts w:cs="Arial"/>
          <w:sz w:val="22"/>
          <w:szCs w:val="22"/>
        </w:rPr>
        <w:t>a) não produzir os resultados, deixar de executar, ou não executar com a qualidade mínima exigida as atividades contratadas; ou</w:t>
      </w:r>
    </w:p>
    <w:p w14:paraId="39E6240D" w14:textId="15C1B48B" w:rsidR="00B032AB" w:rsidRPr="00BF0CBB" w:rsidRDefault="00B032AB" w:rsidP="003B18D2">
      <w:pPr>
        <w:spacing w:before="120" w:after="120" w:line="276" w:lineRule="auto"/>
        <w:ind w:left="851"/>
        <w:jc w:val="both"/>
        <w:rPr>
          <w:rFonts w:cs="Arial"/>
          <w:sz w:val="22"/>
          <w:szCs w:val="22"/>
        </w:rPr>
      </w:pPr>
      <w:r w:rsidRPr="00BF0CBB">
        <w:rPr>
          <w:rFonts w:cs="Arial"/>
          <w:sz w:val="22"/>
          <w:szCs w:val="22"/>
        </w:rPr>
        <w:t>b) deixar de utilizar materiais e recursos humanos exigidos para a execução do serviço, ou utilizá-los com qualidade ou quantidade inferior à demandada.</w:t>
      </w:r>
    </w:p>
    <w:p w14:paraId="5ADCE13A" w14:textId="613E55F8" w:rsidR="006A414A" w:rsidRPr="00BF0CBB" w:rsidRDefault="00B032AB" w:rsidP="003B18D2">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A utilização do IMR não impede a aplicação concomitante de outros mecanismos para a avaliação da prestação dos serviços.</w:t>
      </w:r>
    </w:p>
    <w:p w14:paraId="31AC2724" w14:textId="17081039"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Em hipótese alguma, será admitido que a própria CONTRATADA materialize a avaliação de desempenho e qualidade da prestação dos serviços realizada. </w:t>
      </w:r>
    </w:p>
    <w:p w14:paraId="0ADB9731" w14:textId="69AD6948"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8DE1832"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BF0CBB">
        <w:rPr>
          <w:rFonts w:eastAsiaTheme="minorHAnsi" w:cs="Arial"/>
          <w:sz w:val="22"/>
          <w:szCs w:val="22"/>
          <w:lang w:eastAsia="en-US"/>
        </w:rPr>
        <w:t xml:space="preserve"> sanções à</w:t>
      </w:r>
      <w:r w:rsidRPr="00BF0CBB">
        <w:rPr>
          <w:rFonts w:eastAsiaTheme="minorHAnsi" w:cs="Arial"/>
          <w:sz w:val="22"/>
          <w:szCs w:val="22"/>
          <w:lang w:eastAsia="en-US"/>
        </w:rPr>
        <w:t xml:space="preserve"> CONTRATADA de acordo com as regras previstas no ato convocatório. </w:t>
      </w:r>
    </w:p>
    <w:p w14:paraId="3B27C979" w14:textId="428DF6A7"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fiscal técnico poderá realizar avaliação diária, semanal ou mensal, desde que o período escolhido seja suficiente para avaliar ou, se for o caso, aferir o desempenho e qualidade da prestação dos serviços. </w:t>
      </w:r>
    </w:p>
    <w:p w14:paraId="53D82BBE" w14:textId="751175EA"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1BBCC8D3" w14:textId="4C9F9C8A"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 disposições previstas nesta cláusula não excluem o disposto no Anexo VIII da Instrução Normativa SLTI/</w:t>
      </w:r>
      <w:r w:rsidR="003C58CC" w:rsidRPr="00BF0CBB">
        <w:rPr>
          <w:rFonts w:eastAsiaTheme="minorHAnsi" w:cs="Arial"/>
          <w:sz w:val="22"/>
          <w:szCs w:val="22"/>
          <w:lang w:eastAsia="en-US"/>
        </w:rPr>
        <w:t>MP</w:t>
      </w:r>
      <w:r w:rsidRPr="00BF0CBB">
        <w:rPr>
          <w:rFonts w:eastAsiaTheme="minorHAnsi" w:cs="Arial"/>
          <w:sz w:val="22"/>
          <w:szCs w:val="22"/>
          <w:lang w:eastAsia="en-US"/>
        </w:rPr>
        <w:t xml:space="preserve"> nº 05, de 2017, aplicável no que for pertinente à contratação.</w:t>
      </w:r>
    </w:p>
    <w:p w14:paraId="52559F56" w14:textId="40A146AC"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6CA3D928" w14:textId="42A0281C" w:rsidR="00B222EE" w:rsidRPr="00BF0CBB" w:rsidRDefault="00C55B69" w:rsidP="008B0C2F">
      <w:pPr>
        <w:pStyle w:val="Nivel1"/>
        <w:rPr>
          <w:rFonts w:cs="Arial"/>
          <w:color w:val="auto"/>
          <w:sz w:val="22"/>
          <w:szCs w:val="22"/>
        </w:rPr>
      </w:pPr>
      <w:r w:rsidRPr="00BF0CBB">
        <w:rPr>
          <w:rFonts w:cs="Arial"/>
          <w:color w:val="auto"/>
          <w:sz w:val="22"/>
          <w:szCs w:val="22"/>
        </w:rPr>
        <w:t>DO RECEBIMENTO E ACEITAÇÃO DO OBJETO</w:t>
      </w:r>
      <w:r w:rsidR="008C04BB" w:rsidRPr="00BF0CBB">
        <w:rPr>
          <w:rFonts w:cs="Arial"/>
          <w:color w:val="auto"/>
          <w:sz w:val="22"/>
          <w:szCs w:val="22"/>
        </w:rPr>
        <w:t xml:space="preserve"> </w:t>
      </w:r>
      <w:r w:rsidR="00572024" w:rsidRPr="00BF0CBB">
        <w:rPr>
          <w:rFonts w:cs="Arial"/>
          <w:color w:val="auto"/>
          <w:sz w:val="22"/>
          <w:szCs w:val="22"/>
        </w:rPr>
        <w:t xml:space="preserve"> </w:t>
      </w:r>
    </w:p>
    <w:p w14:paraId="2F947CE2" w14:textId="4D655B91" w:rsidR="00761D03" w:rsidRPr="00BF0CBB" w:rsidRDefault="00761D03" w:rsidP="00660360">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emissão da Nota Fiscal/Fatura deve ser precedida do recebimento definitivo dos serviços, nos </w:t>
      </w:r>
      <w:r w:rsidR="002004CF" w:rsidRPr="00BF0CBB">
        <w:rPr>
          <w:rFonts w:eastAsiaTheme="minorHAnsi" w:cs="Arial"/>
          <w:sz w:val="22"/>
          <w:szCs w:val="22"/>
          <w:lang w:eastAsia="en-US"/>
        </w:rPr>
        <w:t>termos abaixo.</w:t>
      </w:r>
      <w:r w:rsidRPr="00BF0CBB">
        <w:rPr>
          <w:rFonts w:eastAsiaTheme="minorHAnsi" w:cs="Arial"/>
          <w:sz w:val="22"/>
          <w:szCs w:val="22"/>
          <w:lang w:eastAsia="en-US"/>
        </w:rPr>
        <w:t xml:space="preserve"> </w:t>
      </w:r>
    </w:p>
    <w:p w14:paraId="6E87C596" w14:textId="77777777" w:rsidR="00761D03" w:rsidRPr="00BF0CBB" w:rsidRDefault="00761D03" w:rsidP="00660360">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No prazo de até 5 dias corridos do adimplemento da parcela, a CONTRATADA deverá entregar toda a documentação comprobatória do cumprimento da obrigação contratual;  </w:t>
      </w:r>
    </w:p>
    <w:p w14:paraId="5E782B26" w14:textId="77777777" w:rsidR="005B55DF" w:rsidRPr="00BF0CBB" w:rsidRDefault="005B55DF" w:rsidP="005B55D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Os serviços serão recebidos por um servidor da ANTAQ, que acompanhará todo processo de mudança, onde posteriormente verificará de sua conformidade do contrato conforme as especificações constantes neste Termo de Referência e na proposta ganhadora.</w:t>
      </w:r>
    </w:p>
    <w:p w14:paraId="0CAC42C7" w14:textId="77777777" w:rsidR="00BB7101" w:rsidRPr="00BF0CBB" w:rsidRDefault="00BB7101"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3E179B1" w14:textId="0005D3BA" w:rsidR="005B55DF" w:rsidRPr="00BF0CBB" w:rsidRDefault="005B55DF" w:rsidP="005B55D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Os serviços serão recebidos definitivamente em até 10 (dez) dias após o término da mudança, ou da montagem dos móveis, ou no cumprimento total conforme especificado no Termo de Referência, com a consequente aceitação mediante termo circunstanciado.</w:t>
      </w:r>
    </w:p>
    <w:p w14:paraId="261E0835" w14:textId="77777777" w:rsidR="00BB7101" w:rsidRPr="00BF0CBB" w:rsidRDefault="00BB7101" w:rsidP="00621EC4">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Na hipótese de a verificação a que se refere o subitem anterior não ser procedida dentro do prazo fixado, reputar-se-á como realizada, consumando-se o recebimento definitivo no dia do esgotamento do prazo.</w:t>
      </w:r>
    </w:p>
    <w:p w14:paraId="692DA35B" w14:textId="77777777" w:rsidR="00BB7101" w:rsidRPr="00BF0CBB" w:rsidRDefault="00BB7101" w:rsidP="00621EC4">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 recebimento definitivo, ato que concretiza o ateste da execução dos serviços, será realizado pelo fiscal do contrato.</w:t>
      </w:r>
    </w:p>
    <w:p w14:paraId="2957B1E6" w14:textId="1776D7D3" w:rsidR="00C55B69" w:rsidRPr="00BF0CBB" w:rsidRDefault="00C55B69"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recebimento provisório ou definitivo do objeto não exclui a responsabilidade da Contratada pelos prejuízos resultantes da incorreta execução do contrato</w:t>
      </w:r>
      <w:r w:rsidR="00851E2F" w:rsidRPr="00BF0CBB">
        <w:rPr>
          <w:rFonts w:eastAsiaTheme="minorHAnsi" w:cs="Arial"/>
          <w:sz w:val="22"/>
          <w:szCs w:val="22"/>
          <w:lang w:eastAsia="en-US"/>
        </w:rPr>
        <w:t>, ou, em qualquer época, das garantias concedidas e das responsabilidades assumidas em contrato e por força das disposições legais em vigor (Lei n° 10.406, de 2002)</w:t>
      </w:r>
      <w:r w:rsidRPr="00BF0CBB">
        <w:rPr>
          <w:rFonts w:eastAsiaTheme="minorHAnsi" w:cs="Arial"/>
          <w:sz w:val="22"/>
          <w:szCs w:val="22"/>
          <w:lang w:eastAsia="en-US"/>
        </w:rPr>
        <w:t>.</w:t>
      </w:r>
    </w:p>
    <w:p w14:paraId="1A91E661" w14:textId="66186C85" w:rsidR="00EB7796" w:rsidRPr="00BF0CBB" w:rsidRDefault="00EB7796"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w:t>
      </w:r>
      <w:r w:rsidR="00BB7101" w:rsidRPr="00BF0CBB">
        <w:rPr>
          <w:rFonts w:eastAsiaTheme="minorHAnsi" w:cs="Arial"/>
          <w:sz w:val="22"/>
          <w:szCs w:val="22"/>
          <w:lang w:eastAsia="en-US"/>
        </w:rPr>
        <w:t>fiscal</w:t>
      </w:r>
      <w:r w:rsidRPr="00BF0CBB">
        <w:rPr>
          <w:rFonts w:eastAsiaTheme="minorHAnsi" w:cs="Arial"/>
          <w:sz w:val="22"/>
          <w:szCs w:val="22"/>
          <w:lang w:eastAsia="en-US"/>
        </w:rPr>
        <w:t xml:space="preserve">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2ED9669C" w14:textId="77777777" w:rsidR="007E51AF" w:rsidRPr="00BF0CBB" w:rsidRDefault="007E51AF"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CC6E3A" w14:textId="19C7A3A9" w:rsidR="0085196B" w:rsidRPr="00BF0CBB" w:rsidRDefault="0085196B" w:rsidP="0085196B">
      <w:pPr>
        <w:pStyle w:val="Nivel1"/>
        <w:rPr>
          <w:rFonts w:cs="Arial"/>
          <w:color w:val="auto"/>
          <w:sz w:val="22"/>
          <w:szCs w:val="22"/>
        </w:rPr>
      </w:pPr>
      <w:r w:rsidRPr="00BF0CBB">
        <w:rPr>
          <w:rFonts w:cs="Arial"/>
          <w:color w:val="auto"/>
          <w:sz w:val="22"/>
          <w:szCs w:val="22"/>
        </w:rPr>
        <w:t>DO PAGAMENTO</w:t>
      </w:r>
    </w:p>
    <w:p w14:paraId="1AAD6903" w14:textId="61959939"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pagamento será efetuado pela Contratante no prazo de </w:t>
      </w:r>
      <w:r w:rsidR="00C80D3A" w:rsidRPr="00BF0CBB">
        <w:rPr>
          <w:rFonts w:eastAsiaTheme="minorHAnsi" w:cs="Arial"/>
          <w:sz w:val="22"/>
          <w:szCs w:val="22"/>
          <w:lang w:eastAsia="en-US"/>
        </w:rPr>
        <w:t>15 (quinze) dias</w:t>
      </w:r>
      <w:r w:rsidRPr="00BF0CBB">
        <w:rPr>
          <w:rFonts w:eastAsiaTheme="minorHAnsi" w:cs="Arial"/>
          <w:sz w:val="22"/>
          <w:szCs w:val="22"/>
          <w:lang w:eastAsia="en-US"/>
        </w:rPr>
        <w:t xml:space="preserve">, contados do recebimento da Nota Fiscal/Fatura. </w:t>
      </w:r>
    </w:p>
    <w:p w14:paraId="7BAC4FC3" w14:textId="64A200CF" w:rsidR="0085196B" w:rsidRPr="00BF0CBB" w:rsidRDefault="0085196B"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3D3D2745" w14:textId="3179600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emissão da Nota Fiscal/Fatura será precedida do recebimento definitivo do serviço, </w:t>
      </w:r>
      <w:r w:rsidR="00761D03" w:rsidRPr="00BF0CBB">
        <w:rPr>
          <w:rFonts w:eastAsiaTheme="minorHAnsi" w:cs="Arial"/>
          <w:sz w:val="22"/>
          <w:szCs w:val="22"/>
          <w:lang w:eastAsia="en-US"/>
        </w:rPr>
        <w:t>conforme este Termo de Referência</w:t>
      </w:r>
    </w:p>
    <w:p w14:paraId="38651B20" w14:textId="36596BA6"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Nota Fiscal ou Fatura deverá ser obrigatoriamente acompanhada da comprovação da regularidade fiscal, constatada por meio de consulta on-line ao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ou, na impossibilidade de acesso ao referido Sistema, mediante consulta aos sítios eletrônicos oficiais ou à documentação mencionada no art. 29 da Lei nº 8.666, de 1993. </w:t>
      </w:r>
    </w:p>
    <w:p w14:paraId="19CE6DDF" w14:textId="14FEC47B" w:rsidR="0085196B" w:rsidRPr="00BF0CBB" w:rsidRDefault="0085196B"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 xml:space="preserve">Constatando-se, junto ao </w:t>
      </w:r>
      <w:r w:rsidR="003C58CC" w:rsidRPr="00BF0CBB">
        <w:rPr>
          <w:rFonts w:eastAsiaTheme="minorHAnsi" w:cs="Arial"/>
          <w:sz w:val="22"/>
          <w:szCs w:val="22"/>
          <w:lang w:eastAsia="en-US"/>
        </w:rPr>
        <w:t>SICAF</w:t>
      </w:r>
      <w:r w:rsidRPr="00BF0CBB">
        <w:rPr>
          <w:rFonts w:eastAsiaTheme="minorHAnsi" w:cs="Arial"/>
          <w:sz w:val="22"/>
          <w:szCs w:val="22"/>
          <w:lang w:eastAsia="en-US"/>
        </w:rPr>
        <w:t>, a situação de irregularidade do fornecedor contratado, deverão ser tomadas as providências previstas no do art. 31 da Instrução Normativa nº 3, de 26 de abril de 2018.</w:t>
      </w:r>
    </w:p>
    <w:p w14:paraId="1F59D649"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setor competente para proceder o pagamento deve verificar se a Nota Fiscal ou Fatura apresentada expressa os elementos necessários e essenciais do documento, tais como: </w:t>
      </w:r>
    </w:p>
    <w:p w14:paraId="547E72EE" w14:textId="02913A96"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w:t>
      </w:r>
      <w:r w:rsidR="0085196B" w:rsidRPr="00BF0CBB">
        <w:rPr>
          <w:rFonts w:eastAsiaTheme="minorHAnsi" w:cs="Arial"/>
          <w:sz w:val="22"/>
          <w:szCs w:val="22"/>
          <w:lang w:eastAsia="en-US"/>
        </w:rPr>
        <w:t xml:space="preserve"> prazo de validade; </w:t>
      </w:r>
    </w:p>
    <w:p w14:paraId="120BE816" w14:textId="6EE564B9"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A</w:t>
      </w:r>
      <w:r w:rsidR="0085196B" w:rsidRPr="00BF0CBB">
        <w:rPr>
          <w:rFonts w:eastAsiaTheme="minorHAnsi" w:cs="Arial"/>
          <w:sz w:val="22"/>
          <w:szCs w:val="22"/>
          <w:lang w:eastAsia="en-US"/>
        </w:rPr>
        <w:t xml:space="preserve"> data da emissão; </w:t>
      </w:r>
    </w:p>
    <w:p w14:paraId="6DD33C60" w14:textId="33E1435A"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w:t>
      </w:r>
      <w:r w:rsidR="0085196B" w:rsidRPr="00BF0CBB">
        <w:rPr>
          <w:rFonts w:eastAsiaTheme="minorHAnsi" w:cs="Arial"/>
          <w:sz w:val="22"/>
          <w:szCs w:val="22"/>
          <w:lang w:eastAsia="en-US"/>
        </w:rPr>
        <w:t xml:space="preserve">s dados do contrato e do órgão contratante; </w:t>
      </w:r>
    </w:p>
    <w:p w14:paraId="5BC02B68" w14:textId="62BA1EBA"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w:t>
      </w:r>
      <w:r w:rsidR="0085196B" w:rsidRPr="00BF0CBB">
        <w:rPr>
          <w:rFonts w:eastAsiaTheme="minorHAnsi" w:cs="Arial"/>
          <w:sz w:val="22"/>
          <w:szCs w:val="22"/>
          <w:lang w:eastAsia="en-US"/>
        </w:rPr>
        <w:t xml:space="preserve"> período de prestação dos serviços; </w:t>
      </w:r>
    </w:p>
    <w:p w14:paraId="764E0A6C" w14:textId="53C1E403"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w:t>
      </w:r>
      <w:r w:rsidR="0085196B" w:rsidRPr="00BF0CBB">
        <w:rPr>
          <w:rFonts w:eastAsiaTheme="minorHAnsi" w:cs="Arial"/>
          <w:sz w:val="22"/>
          <w:szCs w:val="22"/>
          <w:lang w:eastAsia="en-US"/>
        </w:rPr>
        <w:t xml:space="preserve"> valor a pagar; e </w:t>
      </w:r>
    </w:p>
    <w:p w14:paraId="3E2340FD" w14:textId="0AAF851A"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E</w:t>
      </w:r>
      <w:r w:rsidR="0085196B" w:rsidRPr="00BF0CBB">
        <w:rPr>
          <w:rFonts w:eastAsiaTheme="minorHAnsi" w:cs="Arial"/>
          <w:sz w:val="22"/>
          <w:szCs w:val="22"/>
          <w:lang w:eastAsia="en-US"/>
        </w:rPr>
        <w:t>ventual destaque do valor de retenções tributárias cabíveis.</w:t>
      </w:r>
    </w:p>
    <w:p w14:paraId="12ADEEA1"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5A83FDA" w14:textId="1701C889"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Nos termos do item 1, do Anexo VIII-A da Instrução Normativa SEGES/MP nº 05, de 2017, será efetuada a retenção ou glosa no pagamento, proporcional à irregularidade verificada, sem prejuízo das sanções cabíveis, caso se constate que a Contratada:</w:t>
      </w:r>
    </w:p>
    <w:p w14:paraId="12A64BDD" w14:textId="3FB15816"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N</w:t>
      </w:r>
      <w:r w:rsidR="0085196B" w:rsidRPr="00BF0CBB">
        <w:rPr>
          <w:rFonts w:eastAsiaTheme="minorHAnsi" w:cs="Arial"/>
          <w:sz w:val="22"/>
          <w:szCs w:val="22"/>
          <w:lang w:eastAsia="en-US"/>
        </w:rPr>
        <w:t>ão produziu os resultados acordados;</w:t>
      </w:r>
    </w:p>
    <w:p w14:paraId="10B92392" w14:textId="6D90481E"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D</w:t>
      </w:r>
      <w:r w:rsidR="0085196B" w:rsidRPr="00BF0CBB">
        <w:rPr>
          <w:rFonts w:eastAsiaTheme="minorHAnsi" w:cs="Arial"/>
          <w:sz w:val="22"/>
          <w:szCs w:val="22"/>
          <w:lang w:eastAsia="en-US"/>
        </w:rPr>
        <w:t>eixou de executar as atividades contratadas, ou não as executou com a qualidade mínima exigida;</w:t>
      </w:r>
    </w:p>
    <w:p w14:paraId="29965A0D" w14:textId="4B073597"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D</w:t>
      </w:r>
      <w:r w:rsidR="0085196B" w:rsidRPr="00BF0CBB">
        <w:rPr>
          <w:rFonts w:eastAsiaTheme="minorHAnsi" w:cs="Arial"/>
          <w:sz w:val="22"/>
          <w:szCs w:val="22"/>
          <w:lang w:eastAsia="en-US"/>
        </w:rPr>
        <w:t>eixou de utilizar os materiais e recursos humanos exigidos para a execução do serviço, ou utilizou-os com qualidade ou quantidade inferior à demandada.</w:t>
      </w:r>
    </w:p>
    <w:p w14:paraId="7EBC9C83"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Será considerada data do pagamento o dia em que constar como emitida a ordem bancária para pagamento.</w:t>
      </w:r>
    </w:p>
    <w:p w14:paraId="24CD4733" w14:textId="648EA48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Antes de cada pagamento à contratada, será realizada consulta ao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para verificar a manutenção das condições de habilitação exigidas no edital. </w:t>
      </w:r>
    </w:p>
    <w:p w14:paraId="723141DF" w14:textId="0214CB8C"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Constatando-se, junto ao </w:t>
      </w:r>
      <w:r w:rsidR="003C58CC" w:rsidRPr="00BF0CBB">
        <w:rPr>
          <w:rFonts w:eastAsiaTheme="minorHAnsi" w:cs="Arial"/>
          <w:sz w:val="22"/>
          <w:szCs w:val="22"/>
          <w:lang w:eastAsia="en-US"/>
        </w:rPr>
        <w:t>SICAF</w:t>
      </w:r>
      <w:r w:rsidRPr="00BF0CBB">
        <w:rPr>
          <w:rFonts w:eastAsiaTheme="minorHAnsi" w:cs="Arial"/>
          <w:sz w:val="22"/>
          <w:szCs w:val="22"/>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6B8F9C0" w14:textId="68CC3D5C"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Previamente à emissão de nota de empenho e a cada pagamento, a Administração deverá realizar consulta ao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012F0068"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Havendo a efetiva execução do objeto, os pagamentos serão realizados normalmente, até que se decida pela rescisão do contrato, caso a contratada não regularize sua situação junto ao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w:t>
      </w:r>
    </w:p>
    <w:p w14:paraId="416866CA" w14:textId="46EF4819" w:rsidR="0085196B" w:rsidRPr="00BF0CBB" w:rsidRDefault="0085196B" w:rsidP="00542275">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 xml:space="preserve">Será rescindido o contrato em execução com a contratada inadimplente no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salvo por motivo de economicidade, segurança nacional ou outro de interesse público de alta relevância, devidamente justificado, em qualquer caso, pela máxima autoridade da contratante. </w:t>
      </w:r>
    </w:p>
    <w:p w14:paraId="5D3C31B7" w14:textId="59710E8D"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Quando do pagamento, será efetuada a retenção tributária prevista na legislação aplicável, em especial a prevista no artigo 31 da Lei 8.212, de 1993, nos termos do item 6 do Anexo XI da IN SEGES/</w:t>
      </w:r>
      <w:r w:rsidR="003C58CC" w:rsidRPr="00BF0CBB">
        <w:rPr>
          <w:rFonts w:eastAsiaTheme="minorHAnsi" w:cs="Arial"/>
          <w:sz w:val="22"/>
          <w:szCs w:val="22"/>
          <w:lang w:eastAsia="en-US"/>
        </w:rPr>
        <w:t>MP</w:t>
      </w:r>
      <w:r w:rsidRPr="00BF0CBB">
        <w:rPr>
          <w:rFonts w:eastAsiaTheme="minorHAnsi" w:cs="Arial"/>
          <w:sz w:val="22"/>
          <w:szCs w:val="22"/>
          <w:lang w:eastAsia="en-US"/>
        </w:rPr>
        <w:t xml:space="preserve"> n. 5/2017, quando couber.</w:t>
      </w:r>
    </w:p>
    <w:p w14:paraId="6EEBCC14" w14:textId="464B5E6F"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5ABB86BD"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BF0CBB" w:rsidRDefault="0085196B" w:rsidP="0085196B">
      <w:pPr>
        <w:spacing w:line="276" w:lineRule="auto"/>
        <w:ind w:left="426" w:firstLine="708"/>
        <w:jc w:val="both"/>
        <w:rPr>
          <w:rFonts w:cs="Arial"/>
          <w:szCs w:val="20"/>
        </w:rPr>
      </w:pPr>
      <w:r w:rsidRPr="00BF0CBB">
        <w:rPr>
          <w:rFonts w:cs="Arial"/>
          <w:szCs w:val="20"/>
        </w:rPr>
        <w:t>EM = I x N x VP, sendo:</w:t>
      </w:r>
    </w:p>
    <w:p w14:paraId="0A81D292" w14:textId="77777777" w:rsidR="0085196B" w:rsidRPr="00BF0CBB" w:rsidRDefault="0085196B" w:rsidP="0085196B">
      <w:pPr>
        <w:tabs>
          <w:tab w:val="left" w:pos="1701"/>
        </w:tabs>
        <w:spacing w:line="276" w:lineRule="auto"/>
        <w:ind w:firstLine="1134"/>
        <w:jc w:val="both"/>
        <w:rPr>
          <w:rFonts w:cs="Arial"/>
          <w:snapToGrid w:val="0"/>
          <w:szCs w:val="20"/>
        </w:rPr>
      </w:pPr>
      <w:r w:rsidRPr="00BF0CBB">
        <w:rPr>
          <w:rFonts w:cs="Arial"/>
          <w:snapToGrid w:val="0"/>
          <w:szCs w:val="20"/>
        </w:rPr>
        <w:t>EM = Encargos moratórios;</w:t>
      </w:r>
    </w:p>
    <w:p w14:paraId="3177D85F" w14:textId="77777777" w:rsidR="0085196B" w:rsidRPr="00BF0CBB" w:rsidRDefault="0085196B" w:rsidP="0085196B">
      <w:pPr>
        <w:tabs>
          <w:tab w:val="left" w:pos="1701"/>
        </w:tabs>
        <w:spacing w:line="276" w:lineRule="auto"/>
        <w:ind w:firstLine="1134"/>
        <w:jc w:val="both"/>
        <w:rPr>
          <w:rFonts w:cs="Arial"/>
          <w:szCs w:val="20"/>
        </w:rPr>
      </w:pPr>
      <w:r w:rsidRPr="00BF0CBB">
        <w:rPr>
          <w:rFonts w:cs="Arial"/>
          <w:szCs w:val="20"/>
        </w:rPr>
        <w:t>N = Número de dias entre a data prevista para o pagamento e a do efetivo pagamento;</w:t>
      </w:r>
    </w:p>
    <w:p w14:paraId="5DB48A3A" w14:textId="77777777" w:rsidR="0085196B" w:rsidRPr="00BF0CBB" w:rsidRDefault="0085196B" w:rsidP="0085196B">
      <w:pPr>
        <w:tabs>
          <w:tab w:val="left" w:pos="1701"/>
        </w:tabs>
        <w:spacing w:line="276" w:lineRule="auto"/>
        <w:ind w:firstLine="1134"/>
        <w:jc w:val="both"/>
        <w:rPr>
          <w:rFonts w:cs="Arial"/>
          <w:szCs w:val="20"/>
        </w:rPr>
      </w:pPr>
      <w:r w:rsidRPr="00BF0CBB">
        <w:rPr>
          <w:rFonts w:cs="Arial"/>
          <w:szCs w:val="20"/>
        </w:rPr>
        <w:t>VP = Valor da parcela a ser paga.</w:t>
      </w:r>
    </w:p>
    <w:p w14:paraId="7227CB7A" w14:textId="77777777" w:rsidR="0085196B" w:rsidRPr="00BF0CBB" w:rsidRDefault="0085196B" w:rsidP="0085196B">
      <w:pPr>
        <w:tabs>
          <w:tab w:val="left" w:pos="1701"/>
        </w:tabs>
        <w:spacing w:line="276" w:lineRule="auto"/>
        <w:ind w:firstLine="1134"/>
        <w:jc w:val="both"/>
        <w:rPr>
          <w:rFonts w:cs="Arial"/>
          <w:szCs w:val="20"/>
        </w:rPr>
      </w:pPr>
      <w:r w:rsidRPr="00BF0CBB">
        <w:rPr>
          <w:rFonts w:cs="Arial"/>
          <w:snapToGrid w:val="0"/>
          <w:szCs w:val="20"/>
        </w:rPr>
        <w:t xml:space="preserve">I = Índice de compensação financeira = </w:t>
      </w:r>
      <w:r w:rsidRPr="00BF0CBB">
        <w:rPr>
          <w:rFonts w:cs="Arial"/>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85196B" w:rsidRPr="00BF0CBB" w14:paraId="73763953" w14:textId="77777777" w:rsidTr="0085196B">
        <w:tc>
          <w:tcPr>
            <w:tcW w:w="2214" w:type="dxa"/>
            <w:vMerge w:val="restart"/>
            <w:vAlign w:val="center"/>
            <w:hideMark/>
          </w:tcPr>
          <w:p w14:paraId="7BB6038C" w14:textId="77777777" w:rsidR="0085196B" w:rsidRPr="00BF0CBB" w:rsidRDefault="0085196B">
            <w:pPr>
              <w:tabs>
                <w:tab w:val="left" w:pos="1701"/>
              </w:tabs>
              <w:spacing w:line="276" w:lineRule="auto"/>
              <w:jc w:val="both"/>
              <w:rPr>
                <w:rFonts w:cs="Arial"/>
                <w:szCs w:val="20"/>
              </w:rPr>
            </w:pPr>
            <w:r w:rsidRPr="00BF0CBB">
              <w:rPr>
                <w:rFonts w:cs="Arial"/>
                <w:szCs w:val="20"/>
              </w:rPr>
              <w:t>I = (TX)</w:t>
            </w:r>
          </w:p>
        </w:tc>
        <w:tc>
          <w:tcPr>
            <w:tcW w:w="446" w:type="dxa"/>
            <w:vMerge w:val="restart"/>
            <w:vAlign w:val="center"/>
            <w:hideMark/>
          </w:tcPr>
          <w:p w14:paraId="10B3185C" w14:textId="77777777" w:rsidR="0085196B" w:rsidRPr="00BF0CBB" w:rsidRDefault="0085196B">
            <w:pPr>
              <w:tabs>
                <w:tab w:val="left" w:pos="1701"/>
              </w:tabs>
              <w:spacing w:line="276" w:lineRule="auto"/>
              <w:jc w:val="both"/>
              <w:rPr>
                <w:rFonts w:cs="Arial"/>
                <w:szCs w:val="20"/>
              </w:rPr>
            </w:pPr>
            <w:r w:rsidRPr="00BF0CBB">
              <w:rPr>
                <w:rFonts w:cs="Arial"/>
                <w:szCs w:val="20"/>
              </w:rPr>
              <w:t xml:space="preserve">I = </w:t>
            </w:r>
          </w:p>
        </w:tc>
        <w:tc>
          <w:tcPr>
            <w:tcW w:w="1276" w:type="dxa"/>
            <w:tcBorders>
              <w:top w:val="nil"/>
              <w:left w:val="nil"/>
              <w:bottom w:val="single" w:sz="4" w:space="0" w:color="auto"/>
              <w:right w:val="nil"/>
            </w:tcBorders>
            <w:hideMark/>
          </w:tcPr>
          <w:p w14:paraId="41BA36B2" w14:textId="77777777" w:rsidR="0085196B" w:rsidRPr="00BF0CBB" w:rsidRDefault="0085196B">
            <w:pPr>
              <w:tabs>
                <w:tab w:val="left" w:pos="1701"/>
              </w:tabs>
              <w:spacing w:line="276" w:lineRule="auto"/>
              <w:jc w:val="both"/>
              <w:rPr>
                <w:rFonts w:cs="Arial"/>
                <w:szCs w:val="20"/>
              </w:rPr>
            </w:pPr>
            <w:r w:rsidRPr="00BF0CBB">
              <w:rPr>
                <w:rFonts w:cs="Arial"/>
                <w:szCs w:val="20"/>
              </w:rPr>
              <w:t>( 6 / 100 )</w:t>
            </w:r>
          </w:p>
        </w:tc>
        <w:tc>
          <w:tcPr>
            <w:tcW w:w="4926" w:type="dxa"/>
            <w:vMerge w:val="restart"/>
            <w:vAlign w:val="center"/>
          </w:tcPr>
          <w:p w14:paraId="1FD12A20" w14:textId="77777777" w:rsidR="0085196B" w:rsidRPr="00BF0CBB" w:rsidRDefault="0085196B">
            <w:pPr>
              <w:tabs>
                <w:tab w:val="left" w:pos="1701"/>
              </w:tabs>
              <w:spacing w:line="276" w:lineRule="auto"/>
              <w:ind w:left="742"/>
              <w:jc w:val="both"/>
              <w:rPr>
                <w:rFonts w:cs="Arial"/>
                <w:szCs w:val="20"/>
              </w:rPr>
            </w:pPr>
            <w:r w:rsidRPr="00BF0CBB">
              <w:rPr>
                <w:rFonts w:cs="Arial"/>
                <w:szCs w:val="20"/>
              </w:rPr>
              <w:t>I = 0,00016438</w:t>
            </w:r>
          </w:p>
          <w:p w14:paraId="3649D0D6" w14:textId="77777777" w:rsidR="0085196B" w:rsidRPr="00BF0CBB" w:rsidRDefault="0085196B">
            <w:pPr>
              <w:tabs>
                <w:tab w:val="left" w:pos="1701"/>
              </w:tabs>
              <w:spacing w:line="276" w:lineRule="auto"/>
              <w:ind w:left="742"/>
              <w:jc w:val="both"/>
              <w:rPr>
                <w:rFonts w:cs="Arial"/>
                <w:szCs w:val="20"/>
              </w:rPr>
            </w:pPr>
            <w:r w:rsidRPr="00BF0CBB">
              <w:rPr>
                <w:rFonts w:cs="Arial"/>
                <w:szCs w:val="20"/>
              </w:rPr>
              <w:t>TX = Percentual da taxa anual = 6%</w:t>
            </w:r>
          </w:p>
          <w:p w14:paraId="48DD78F5" w14:textId="77777777" w:rsidR="0085196B" w:rsidRPr="00BF0CBB" w:rsidRDefault="0085196B">
            <w:pPr>
              <w:tabs>
                <w:tab w:val="left" w:pos="1701"/>
              </w:tabs>
              <w:spacing w:line="276" w:lineRule="auto"/>
              <w:ind w:left="742"/>
              <w:jc w:val="both"/>
              <w:rPr>
                <w:rFonts w:cs="Arial"/>
                <w:szCs w:val="20"/>
              </w:rPr>
            </w:pPr>
          </w:p>
        </w:tc>
      </w:tr>
      <w:tr w:rsidR="0085196B" w:rsidRPr="00BF0CBB" w14:paraId="610884CB" w14:textId="77777777" w:rsidTr="0085196B">
        <w:tc>
          <w:tcPr>
            <w:tcW w:w="0" w:type="auto"/>
            <w:vMerge/>
            <w:vAlign w:val="center"/>
            <w:hideMark/>
          </w:tcPr>
          <w:p w14:paraId="19821BB1" w14:textId="77777777" w:rsidR="0085196B" w:rsidRPr="00BF0CBB" w:rsidRDefault="0085196B">
            <w:pPr>
              <w:rPr>
                <w:rFonts w:cs="Arial"/>
                <w:szCs w:val="20"/>
              </w:rPr>
            </w:pPr>
          </w:p>
        </w:tc>
        <w:tc>
          <w:tcPr>
            <w:tcW w:w="0" w:type="auto"/>
            <w:vMerge/>
            <w:vAlign w:val="center"/>
            <w:hideMark/>
          </w:tcPr>
          <w:p w14:paraId="2F6D1691" w14:textId="77777777" w:rsidR="0085196B" w:rsidRPr="00BF0CBB" w:rsidRDefault="0085196B">
            <w:pPr>
              <w:rPr>
                <w:rFonts w:cs="Arial"/>
                <w:szCs w:val="20"/>
              </w:rPr>
            </w:pPr>
          </w:p>
        </w:tc>
        <w:tc>
          <w:tcPr>
            <w:tcW w:w="1276" w:type="dxa"/>
            <w:tcBorders>
              <w:top w:val="single" w:sz="4" w:space="0" w:color="auto"/>
              <w:left w:val="nil"/>
              <w:bottom w:val="nil"/>
              <w:right w:val="nil"/>
            </w:tcBorders>
            <w:hideMark/>
          </w:tcPr>
          <w:p w14:paraId="0707742C" w14:textId="77777777" w:rsidR="0085196B" w:rsidRPr="00BF0CBB" w:rsidRDefault="0085196B">
            <w:pPr>
              <w:tabs>
                <w:tab w:val="left" w:pos="1701"/>
              </w:tabs>
              <w:spacing w:line="276" w:lineRule="auto"/>
              <w:jc w:val="both"/>
              <w:rPr>
                <w:rFonts w:cs="Arial"/>
                <w:szCs w:val="20"/>
              </w:rPr>
            </w:pPr>
            <w:r w:rsidRPr="00BF0CBB">
              <w:rPr>
                <w:rFonts w:cs="Arial"/>
                <w:szCs w:val="20"/>
              </w:rPr>
              <w:t>365</w:t>
            </w:r>
          </w:p>
        </w:tc>
        <w:tc>
          <w:tcPr>
            <w:tcW w:w="0" w:type="auto"/>
            <w:vMerge/>
            <w:vAlign w:val="center"/>
            <w:hideMark/>
          </w:tcPr>
          <w:p w14:paraId="44007801" w14:textId="77777777" w:rsidR="0085196B" w:rsidRPr="00BF0CBB" w:rsidRDefault="0085196B">
            <w:pPr>
              <w:rPr>
                <w:rFonts w:cs="Arial"/>
                <w:szCs w:val="20"/>
              </w:rPr>
            </w:pPr>
          </w:p>
        </w:tc>
      </w:tr>
    </w:tbl>
    <w:p w14:paraId="2250D020" w14:textId="77777777" w:rsidR="00E84D9B" w:rsidRPr="00BF0CBB" w:rsidRDefault="00E84D9B" w:rsidP="00542275">
      <w:pPr>
        <w:pStyle w:val="Nivel1"/>
        <w:rPr>
          <w:rFonts w:cs="Arial"/>
          <w:color w:val="auto"/>
          <w:sz w:val="22"/>
          <w:szCs w:val="22"/>
        </w:rPr>
      </w:pPr>
      <w:r w:rsidRPr="00BF0CBB">
        <w:rPr>
          <w:rFonts w:cs="Arial"/>
          <w:color w:val="auto"/>
          <w:sz w:val="22"/>
          <w:szCs w:val="22"/>
        </w:rPr>
        <w:t>GARANTIA DA EXECUÇÃO</w:t>
      </w:r>
    </w:p>
    <w:p w14:paraId="5417F37A" w14:textId="0FBA23E2" w:rsidR="00E84D9B" w:rsidRPr="00BF0CBB" w:rsidRDefault="00E84D9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Não haverá exigência de g</w:t>
      </w:r>
      <w:r w:rsidR="00542275" w:rsidRPr="00BF0CBB">
        <w:rPr>
          <w:rFonts w:eastAsiaTheme="minorHAnsi" w:cs="Arial"/>
          <w:sz w:val="22"/>
          <w:szCs w:val="22"/>
          <w:lang w:eastAsia="en-US"/>
        </w:rPr>
        <w:t>arantia contratual da execução por se tratar de serviço pontual, a ser prestado de uma única vez, sendo efetuado o pagamento apenas após a conclusão total do serviço.</w:t>
      </w:r>
    </w:p>
    <w:p w14:paraId="261AB173" w14:textId="32803F3D" w:rsidR="00DB206B" w:rsidRPr="00BF0CBB" w:rsidRDefault="00DB206B" w:rsidP="00542275">
      <w:pPr>
        <w:pStyle w:val="Nivel1"/>
        <w:rPr>
          <w:rFonts w:cs="Arial"/>
          <w:color w:val="auto"/>
          <w:sz w:val="22"/>
          <w:szCs w:val="22"/>
        </w:rPr>
      </w:pPr>
      <w:r w:rsidRPr="00BF0CBB">
        <w:rPr>
          <w:rFonts w:cs="Arial"/>
          <w:color w:val="auto"/>
          <w:sz w:val="22"/>
          <w:szCs w:val="22"/>
        </w:rPr>
        <w:t>DAS SANÇÕES ADMINISTRATIVAS</w:t>
      </w:r>
    </w:p>
    <w:p w14:paraId="4F80CCC9" w14:textId="77777777" w:rsidR="00B222EE" w:rsidRPr="00BF0CBB" w:rsidRDefault="00B222EE" w:rsidP="003241DC">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Comete infração administrativa nos termos da Lei nº 10.520, de 2002, a CONTRATADA que:</w:t>
      </w:r>
    </w:p>
    <w:p w14:paraId="1B3D104A"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inexecutar total ou parcialmente qualquer das obrigações assumidas em decorrência da contratação;</w:t>
      </w:r>
    </w:p>
    <w:p w14:paraId="10A6B57C"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ensejar o retardamento da execução do objeto;</w:t>
      </w:r>
    </w:p>
    <w:p w14:paraId="668D1E47"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falhar ou fraudar na execução do contrato;</w:t>
      </w:r>
    </w:p>
    <w:p w14:paraId="4ECF6787"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comportar-se de modo inidôneo; ou</w:t>
      </w:r>
    </w:p>
    <w:p w14:paraId="05C388CD" w14:textId="122FFFD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cometer fraude fiscal.</w:t>
      </w:r>
    </w:p>
    <w:p w14:paraId="37A3FCC5" w14:textId="77777777" w:rsidR="00747AC8" w:rsidRPr="00BF0CBB" w:rsidRDefault="00747AC8"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não mantiver a proposta.</w:t>
      </w:r>
    </w:p>
    <w:p w14:paraId="52E177B2" w14:textId="77777777" w:rsidR="00B222EE" w:rsidRPr="00BF0CBB"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Pela inexecução total ou parcial do objeto deste contrato, a Administração pode aplicar à CONTRATADA as seguintes sanções:</w:t>
      </w:r>
    </w:p>
    <w:p w14:paraId="2EB9CACC" w14:textId="08E02E5B"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Advertência por escrito</w:t>
      </w:r>
      <w:r w:rsidRPr="00BF0CBB">
        <w:rPr>
          <w:rFonts w:eastAsiaTheme="minorHAnsi" w:cs="Arial"/>
          <w:sz w:val="22"/>
          <w:szCs w:val="22"/>
          <w:lang w:eastAsia="en-US"/>
        </w:rPr>
        <w:t>,</w:t>
      </w:r>
      <w:r w:rsidR="00464C69" w:rsidRPr="00BF0CBB">
        <w:rPr>
          <w:rFonts w:eastAsiaTheme="minorHAnsi" w:cs="Arial"/>
          <w:sz w:val="22"/>
          <w:szCs w:val="22"/>
          <w:lang w:eastAsia="en-US"/>
        </w:rPr>
        <w:t xml:space="preserve"> </w:t>
      </w:r>
      <w:r w:rsidRPr="00BF0CBB">
        <w:rPr>
          <w:rFonts w:eastAsiaTheme="minorHAnsi" w:cs="Arial"/>
          <w:sz w:val="22"/>
          <w:szCs w:val="22"/>
          <w:lang w:eastAsia="en-US"/>
        </w:rPr>
        <w:t>quando do não cumprimento de quaisquer das obrigações contratuais consideradas faltas leves, assim entendidas aquelas que não acarretam prejuízos significativos para o serviço contratado;</w:t>
      </w:r>
    </w:p>
    <w:p w14:paraId="28A5B380"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Multa</w:t>
      </w:r>
      <w:r w:rsidRPr="00BF0CBB">
        <w:rPr>
          <w:rFonts w:eastAsiaTheme="minorHAnsi" w:cs="Arial"/>
          <w:sz w:val="22"/>
          <w:szCs w:val="22"/>
          <w:lang w:eastAsia="en-US"/>
        </w:rPr>
        <w:t xml:space="preserve"> de: </w:t>
      </w:r>
    </w:p>
    <w:p w14:paraId="77E40299" w14:textId="4C3C6061" w:rsidR="00B222EE" w:rsidRPr="00BF0CB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 xml:space="preserve">0,1% (um décimo por cento) até </w:t>
      </w:r>
      <w:r w:rsidR="00BF0CBB" w:rsidRPr="00BF0CBB">
        <w:rPr>
          <w:rFonts w:eastAsiaTheme="minorHAnsi" w:cs="Arial"/>
          <w:sz w:val="22"/>
          <w:szCs w:val="22"/>
          <w:lang w:eastAsia="en-US"/>
        </w:rPr>
        <w:t>4</w:t>
      </w:r>
      <w:r w:rsidRPr="00BF0CBB">
        <w:rPr>
          <w:rFonts w:eastAsiaTheme="minorHAnsi" w:cs="Arial"/>
          <w:sz w:val="22"/>
          <w:szCs w:val="22"/>
          <w:lang w:eastAsia="en-US"/>
        </w:rPr>
        <w:t>% (</w:t>
      </w:r>
      <w:r w:rsidR="00BF0CBB" w:rsidRPr="00BF0CBB">
        <w:rPr>
          <w:rFonts w:eastAsiaTheme="minorHAnsi" w:cs="Arial"/>
          <w:sz w:val="22"/>
          <w:szCs w:val="22"/>
          <w:lang w:eastAsia="en-US"/>
        </w:rPr>
        <w:t>quatro</w:t>
      </w:r>
      <w:r w:rsidRPr="00BF0CBB">
        <w:rPr>
          <w:rFonts w:eastAsiaTheme="minorHAnsi" w:cs="Arial"/>
          <w:sz w:val="22"/>
          <w:szCs w:val="22"/>
          <w:lang w:eastAsia="en-US"/>
        </w:rPr>
        <w:t xml:space="preserve">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513B1D78" w:rsidR="00B222EE" w:rsidRPr="00BF0CBB" w:rsidRDefault="00BF0CB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5</w:t>
      </w:r>
      <w:r w:rsidR="00B222EE" w:rsidRPr="00BF0CBB">
        <w:rPr>
          <w:rFonts w:eastAsiaTheme="minorHAnsi" w:cs="Arial"/>
          <w:sz w:val="22"/>
          <w:szCs w:val="22"/>
          <w:lang w:eastAsia="en-US"/>
        </w:rPr>
        <w:t>% (</w:t>
      </w:r>
      <w:r w:rsidRPr="00BF0CBB">
        <w:rPr>
          <w:rFonts w:eastAsiaTheme="minorHAnsi" w:cs="Arial"/>
          <w:sz w:val="22"/>
          <w:szCs w:val="22"/>
          <w:lang w:eastAsia="en-US"/>
        </w:rPr>
        <w:t>cinco</w:t>
      </w:r>
      <w:r w:rsidR="00B222EE" w:rsidRPr="00BF0CBB">
        <w:rPr>
          <w:rFonts w:eastAsiaTheme="minorHAnsi" w:cs="Arial"/>
          <w:sz w:val="22"/>
          <w:szCs w:val="22"/>
          <w:lang w:eastAsia="en-US"/>
        </w:rPr>
        <w:t xml:space="preserve"> por cento) até 10% (dez por cento) sobre o valor adjudicado, em caso de atraso na execução do objeto, por período superior ao previsto no subitem </w:t>
      </w:r>
      <w:r w:rsidR="00000DB1" w:rsidRPr="00BF0CBB">
        <w:rPr>
          <w:rFonts w:eastAsiaTheme="minorHAnsi" w:cs="Arial"/>
          <w:sz w:val="22"/>
          <w:szCs w:val="22"/>
          <w:lang w:eastAsia="en-US"/>
        </w:rPr>
        <w:t>acima,</w:t>
      </w:r>
      <w:r w:rsidR="00B222EE" w:rsidRPr="00BF0CBB">
        <w:rPr>
          <w:rFonts w:eastAsiaTheme="minorHAnsi" w:cs="Arial"/>
          <w:sz w:val="22"/>
          <w:szCs w:val="22"/>
          <w:lang w:eastAsia="en-US"/>
        </w:rPr>
        <w:t xml:space="preserve"> ou de inexecução parcial da obrigação assumida;</w:t>
      </w:r>
    </w:p>
    <w:p w14:paraId="415E81C5" w14:textId="56B050E4" w:rsidR="00B222EE" w:rsidRPr="00BF0CBB" w:rsidRDefault="00BF0CB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1</w:t>
      </w:r>
      <w:r w:rsidR="00B222EE" w:rsidRPr="00BF0CBB">
        <w:rPr>
          <w:rFonts w:eastAsiaTheme="minorHAnsi" w:cs="Arial"/>
          <w:sz w:val="22"/>
          <w:szCs w:val="22"/>
          <w:lang w:eastAsia="en-US"/>
        </w:rPr>
        <w:t>1% (</w:t>
      </w:r>
      <w:r w:rsidRPr="00BF0CBB">
        <w:rPr>
          <w:rFonts w:eastAsiaTheme="minorHAnsi" w:cs="Arial"/>
          <w:sz w:val="22"/>
          <w:szCs w:val="22"/>
          <w:lang w:eastAsia="en-US"/>
        </w:rPr>
        <w:t>onze</w:t>
      </w:r>
      <w:r w:rsidR="00B222EE" w:rsidRPr="00BF0CBB">
        <w:rPr>
          <w:rFonts w:eastAsiaTheme="minorHAnsi" w:cs="Arial"/>
          <w:sz w:val="22"/>
          <w:szCs w:val="22"/>
          <w:lang w:eastAsia="en-US"/>
        </w:rPr>
        <w:t xml:space="preserve"> por cento) até 15% (quinze por cento) sobre o valor adjudicado, em caso de inexecução total da obrigação assumida;</w:t>
      </w:r>
    </w:p>
    <w:p w14:paraId="61A53DD4" w14:textId="25CA22B8" w:rsidR="00B222EE" w:rsidRPr="00BF0CB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 xml:space="preserve">0,2% a 3,2% por dia sobre o valor mensal do contrato, conforme detalhamento constante das tabelas 1 e 2, </w:t>
      </w:r>
      <w:r w:rsidR="00FC31E2" w:rsidRPr="00BF0CBB">
        <w:rPr>
          <w:rFonts w:eastAsiaTheme="minorHAnsi" w:cs="Arial"/>
          <w:sz w:val="22"/>
          <w:szCs w:val="22"/>
          <w:lang w:eastAsia="en-US"/>
        </w:rPr>
        <w:t>abaixo</w:t>
      </w:r>
      <w:r w:rsidRPr="00BF0CBB">
        <w:rPr>
          <w:rFonts w:eastAsiaTheme="minorHAnsi" w:cs="Arial"/>
          <w:sz w:val="22"/>
          <w:szCs w:val="22"/>
          <w:lang w:eastAsia="en-US"/>
        </w:rPr>
        <w:t>; e</w:t>
      </w:r>
    </w:p>
    <w:p w14:paraId="48B36AAA" w14:textId="380F417C" w:rsidR="00B222EE" w:rsidRPr="00BF0CB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0,07% (sete centésimos por cento) do valor do contrato por dia de atraso na apresentação da garantia (seja para reforço ou por ocasião de prorrogação), observado o máximo de 2% (dois por cento</w:t>
      </w:r>
      <w:r w:rsidR="00880180" w:rsidRPr="00BF0CBB">
        <w:rPr>
          <w:rFonts w:eastAsiaTheme="minorHAnsi" w:cs="Arial"/>
          <w:sz w:val="22"/>
          <w:szCs w:val="22"/>
          <w:lang w:eastAsia="en-US"/>
        </w:rPr>
        <w:t>)</w:t>
      </w:r>
      <w:r w:rsidRPr="00BF0CBB">
        <w:rPr>
          <w:rFonts w:eastAsiaTheme="minorHAnsi" w:cs="Arial"/>
          <w:sz w:val="22"/>
          <w:szCs w:val="22"/>
          <w:lang w:eastAsia="en-US"/>
        </w:rPr>
        <w:t>. O atraso superior a 25 (vinte e cinco) dias autorizará a Administração CONTRATANTE a promover a rescisão do contrato;</w:t>
      </w:r>
    </w:p>
    <w:p w14:paraId="260FE6C2" w14:textId="77777777" w:rsidR="00B222EE" w:rsidRPr="00BF0CB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as penalidades de multa decorrentes de fatos diversos serão consideradas independentes entre si.</w:t>
      </w:r>
    </w:p>
    <w:p w14:paraId="67918655" w14:textId="77777777" w:rsidR="00227104" w:rsidRPr="00BF0CBB" w:rsidRDefault="00227104"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Suspensão de licitar e impedimento de contratar com o órgão</w:t>
      </w:r>
      <w:r w:rsidRPr="00BF0CBB">
        <w:rPr>
          <w:rFonts w:eastAsiaTheme="minorHAnsi" w:cs="Arial"/>
          <w:sz w:val="22"/>
          <w:szCs w:val="22"/>
          <w:lang w:eastAsia="en-US"/>
        </w:rPr>
        <w:t>, entidade ou unidade administrativa pela qual a Administração Pública opera e atua concretamente, pelo prazo de até dois anos;</w:t>
      </w:r>
    </w:p>
    <w:p w14:paraId="4B1462A3" w14:textId="60346079"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Sanção de impedimento de licitar e contratar com órgãos e entidades da União</w:t>
      </w:r>
      <w:r w:rsidRPr="00BF0CBB">
        <w:rPr>
          <w:rFonts w:eastAsiaTheme="minorHAnsi" w:cs="Arial"/>
          <w:sz w:val="22"/>
          <w:szCs w:val="22"/>
          <w:lang w:eastAsia="en-US"/>
        </w:rPr>
        <w:t xml:space="preserve">, com o consequente descredenciamento no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pelo prazo de até cinco anos.</w:t>
      </w:r>
    </w:p>
    <w:p w14:paraId="1D24FD7F" w14:textId="5B81FCE2" w:rsidR="00E84D9B" w:rsidRPr="00BF0CBB" w:rsidRDefault="00E84D9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A Sanção de impedimento de licitar e contratar prevista neste subitem também é aplicável em quaisquer das hipóteses previstas como infração administrativa no subitem 1</w:t>
      </w:r>
      <w:r w:rsidR="00411A98" w:rsidRPr="00BF0CBB">
        <w:rPr>
          <w:rFonts w:eastAsiaTheme="minorHAnsi" w:cs="Arial"/>
          <w:sz w:val="22"/>
          <w:szCs w:val="22"/>
          <w:lang w:eastAsia="en-US"/>
        </w:rPr>
        <w:t>8</w:t>
      </w:r>
      <w:r w:rsidRPr="00BF0CBB">
        <w:rPr>
          <w:rFonts w:eastAsiaTheme="minorHAnsi" w:cs="Arial"/>
          <w:sz w:val="22"/>
          <w:szCs w:val="22"/>
          <w:lang w:eastAsia="en-US"/>
        </w:rPr>
        <w:t>.1 deste Termo de Referência.</w:t>
      </w:r>
    </w:p>
    <w:p w14:paraId="43D6F17F" w14:textId="77777777" w:rsidR="006437EC" w:rsidRPr="00BF0CBB" w:rsidRDefault="006437E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 xml:space="preserve">Declaração de inidoneidade para licitar ou </w:t>
      </w:r>
      <w:r w:rsidRPr="00BF0CBB">
        <w:rPr>
          <w:rFonts w:eastAsiaTheme="minorHAnsi" w:cs="Arial"/>
          <w:sz w:val="22"/>
          <w:szCs w:val="22"/>
          <w:lang w:eastAsia="en-US"/>
        </w:rPr>
        <w:t xml:space="preserve">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16909501" w:rsidR="00B222EE" w:rsidRPr="00BF0CBB"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As sanções </w:t>
      </w:r>
      <w:r w:rsidR="00E57624" w:rsidRPr="00BF0CBB">
        <w:rPr>
          <w:rFonts w:eastAsiaTheme="minorHAnsi" w:cs="Arial"/>
          <w:sz w:val="22"/>
          <w:szCs w:val="22"/>
          <w:lang w:eastAsia="en-US"/>
        </w:rPr>
        <w:t xml:space="preserve">previstas nos subitens </w:t>
      </w:r>
      <w:r w:rsidR="00E84D9B" w:rsidRPr="00BF0CBB">
        <w:rPr>
          <w:rFonts w:eastAsiaTheme="minorHAnsi" w:cs="Arial"/>
          <w:sz w:val="22"/>
          <w:szCs w:val="22"/>
          <w:lang w:eastAsia="en-US"/>
        </w:rPr>
        <w:t>1</w:t>
      </w:r>
      <w:r w:rsidR="00411A98" w:rsidRPr="00BF0CBB">
        <w:rPr>
          <w:rFonts w:eastAsiaTheme="minorHAnsi" w:cs="Arial"/>
          <w:sz w:val="22"/>
          <w:szCs w:val="22"/>
          <w:lang w:eastAsia="en-US"/>
        </w:rPr>
        <w:t>8</w:t>
      </w:r>
      <w:r w:rsidR="00BA6694" w:rsidRPr="00BF0CBB">
        <w:rPr>
          <w:rFonts w:eastAsiaTheme="minorHAnsi" w:cs="Arial"/>
          <w:sz w:val="22"/>
          <w:szCs w:val="22"/>
          <w:lang w:eastAsia="en-US"/>
        </w:rPr>
        <w:t>.2</w:t>
      </w:r>
      <w:r w:rsidR="00E57624" w:rsidRPr="00BF0CBB">
        <w:rPr>
          <w:rFonts w:eastAsiaTheme="minorHAnsi" w:cs="Arial"/>
          <w:sz w:val="22"/>
          <w:szCs w:val="22"/>
          <w:lang w:eastAsia="en-US"/>
        </w:rPr>
        <w:t xml:space="preserve">.1, </w:t>
      </w:r>
      <w:r w:rsidR="00E84D9B" w:rsidRPr="00BF0CBB">
        <w:rPr>
          <w:rFonts w:eastAsiaTheme="minorHAnsi" w:cs="Arial"/>
          <w:sz w:val="22"/>
          <w:szCs w:val="22"/>
          <w:lang w:eastAsia="en-US"/>
        </w:rPr>
        <w:t>1</w:t>
      </w:r>
      <w:r w:rsidR="00411A98" w:rsidRPr="00BF0CBB">
        <w:rPr>
          <w:rFonts w:eastAsiaTheme="minorHAnsi" w:cs="Arial"/>
          <w:sz w:val="22"/>
          <w:szCs w:val="22"/>
          <w:lang w:eastAsia="en-US"/>
        </w:rPr>
        <w:t>8</w:t>
      </w:r>
      <w:r w:rsidR="00BA6694" w:rsidRPr="00BF0CBB">
        <w:rPr>
          <w:rFonts w:eastAsiaTheme="minorHAnsi" w:cs="Arial"/>
          <w:sz w:val="22"/>
          <w:szCs w:val="22"/>
          <w:lang w:eastAsia="en-US"/>
        </w:rPr>
        <w:t>.2</w:t>
      </w:r>
      <w:r w:rsidR="00E57624" w:rsidRPr="00BF0CBB">
        <w:rPr>
          <w:rFonts w:eastAsiaTheme="minorHAnsi" w:cs="Arial"/>
          <w:sz w:val="22"/>
          <w:szCs w:val="22"/>
          <w:lang w:eastAsia="en-US"/>
        </w:rPr>
        <w:t xml:space="preserve">.3, </w:t>
      </w:r>
      <w:r w:rsidR="00747AC8" w:rsidRPr="00BF0CBB">
        <w:rPr>
          <w:rFonts w:eastAsiaTheme="minorHAnsi" w:cs="Arial"/>
          <w:sz w:val="22"/>
          <w:szCs w:val="22"/>
          <w:lang w:eastAsia="en-US"/>
        </w:rPr>
        <w:t>1</w:t>
      </w:r>
      <w:r w:rsidR="00411A98" w:rsidRPr="00BF0CBB">
        <w:rPr>
          <w:rFonts w:eastAsiaTheme="minorHAnsi" w:cs="Arial"/>
          <w:sz w:val="22"/>
          <w:szCs w:val="22"/>
          <w:lang w:eastAsia="en-US"/>
        </w:rPr>
        <w:t>8</w:t>
      </w:r>
      <w:r w:rsidR="00E57624" w:rsidRPr="00BF0CBB">
        <w:rPr>
          <w:rFonts w:eastAsiaTheme="minorHAnsi" w:cs="Arial"/>
          <w:sz w:val="22"/>
          <w:szCs w:val="22"/>
          <w:lang w:eastAsia="en-US"/>
        </w:rPr>
        <w:t>.</w:t>
      </w:r>
      <w:r w:rsidR="00BA6694" w:rsidRPr="00BF0CBB">
        <w:rPr>
          <w:rFonts w:eastAsiaTheme="minorHAnsi" w:cs="Arial"/>
          <w:sz w:val="22"/>
          <w:szCs w:val="22"/>
          <w:lang w:eastAsia="en-US"/>
        </w:rPr>
        <w:t>2</w:t>
      </w:r>
      <w:r w:rsidR="00E57624" w:rsidRPr="00BF0CBB">
        <w:rPr>
          <w:rFonts w:eastAsiaTheme="minorHAnsi" w:cs="Arial"/>
          <w:sz w:val="22"/>
          <w:szCs w:val="22"/>
          <w:lang w:eastAsia="en-US"/>
        </w:rPr>
        <w:t xml:space="preserve">.4 e </w:t>
      </w:r>
      <w:r w:rsidR="00E84D9B" w:rsidRPr="00BF0CBB">
        <w:rPr>
          <w:rFonts w:eastAsiaTheme="minorHAnsi" w:cs="Arial"/>
          <w:sz w:val="22"/>
          <w:szCs w:val="22"/>
          <w:lang w:eastAsia="en-US"/>
        </w:rPr>
        <w:t>1</w:t>
      </w:r>
      <w:r w:rsidR="00411A98" w:rsidRPr="00BF0CBB">
        <w:rPr>
          <w:rFonts w:eastAsiaTheme="minorHAnsi" w:cs="Arial"/>
          <w:sz w:val="22"/>
          <w:szCs w:val="22"/>
          <w:lang w:eastAsia="en-US"/>
        </w:rPr>
        <w:t>8</w:t>
      </w:r>
      <w:r w:rsidR="00E57624" w:rsidRPr="00BF0CBB">
        <w:rPr>
          <w:rFonts w:eastAsiaTheme="minorHAnsi" w:cs="Arial"/>
          <w:sz w:val="22"/>
          <w:szCs w:val="22"/>
          <w:lang w:eastAsia="en-US"/>
        </w:rPr>
        <w:t>.</w:t>
      </w:r>
      <w:r w:rsidR="00BA6694" w:rsidRPr="00BF0CBB">
        <w:rPr>
          <w:rFonts w:eastAsiaTheme="minorHAnsi" w:cs="Arial"/>
          <w:sz w:val="22"/>
          <w:szCs w:val="22"/>
          <w:lang w:eastAsia="en-US"/>
        </w:rPr>
        <w:t>2</w:t>
      </w:r>
      <w:r w:rsidR="00E57624" w:rsidRPr="00BF0CBB">
        <w:rPr>
          <w:rFonts w:eastAsiaTheme="minorHAnsi" w:cs="Arial"/>
          <w:sz w:val="22"/>
          <w:szCs w:val="22"/>
          <w:lang w:eastAsia="en-US"/>
        </w:rPr>
        <w:t>.5 poder</w:t>
      </w:r>
      <w:r w:rsidRPr="00BF0CBB">
        <w:rPr>
          <w:rFonts w:eastAsiaTheme="minorHAnsi" w:cs="Arial"/>
          <w:sz w:val="22"/>
          <w:szCs w:val="22"/>
          <w:lang w:eastAsia="en-US"/>
        </w:rPr>
        <w:t>ão ser aplicadas à CONTRATADA juntamente com as de multa, descontando-a dos pagamentos a serem efetuados.</w:t>
      </w:r>
    </w:p>
    <w:p w14:paraId="1FBAAE06" w14:textId="54056562" w:rsidR="00B222EE" w:rsidRPr="00BF0CBB"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Para efeito de aplicação de multas, às infrações são atribuídos graus, de acordo com as tabelas 1 e 2:</w:t>
      </w:r>
    </w:p>
    <w:p w14:paraId="57B2E71B" w14:textId="77777777" w:rsidR="00B222EE" w:rsidRPr="00BF0CBB" w:rsidRDefault="00B222EE" w:rsidP="00B222EE">
      <w:pPr>
        <w:spacing w:before="120" w:after="120" w:line="276" w:lineRule="auto"/>
        <w:ind w:right="-30"/>
        <w:jc w:val="center"/>
        <w:rPr>
          <w:rFonts w:cs="Arial"/>
          <w:b/>
          <w:bCs/>
          <w:szCs w:val="20"/>
        </w:rPr>
      </w:pPr>
      <w:r w:rsidRPr="00BF0CBB">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BF0CBB"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CORRESPONDÊNCIA</w:t>
            </w:r>
          </w:p>
        </w:tc>
      </w:tr>
      <w:tr w:rsidR="00B222EE" w:rsidRPr="00BF0CBB"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0,2% ao dia sobre o valor mensal do contrato</w:t>
            </w:r>
          </w:p>
        </w:tc>
      </w:tr>
      <w:tr w:rsidR="00B222EE" w:rsidRPr="00BF0CBB"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0,4% ao dia sobre o valor mensal do contrato</w:t>
            </w:r>
          </w:p>
        </w:tc>
      </w:tr>
      <w:tr w:rsidR="00B222EE" w:rsidRPr="00BF0CBB"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0,8% ao dia sobre o valor mensal do contrato</w:t>
            </w:r>
          </w:p>
        </w:tc>
      </w:tr>
      <w:tr w:rsidR="00B222EE" w:rsidRPr="00BF0CBB"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1,6% ao dia sobre o valor mensal do contrato</w:t>
            </w:r>
          </w:p>
        </w:tc>
      </w:tr>
      <w:tr w:rsidR="00B222EE" w:rsidRPr="00BF0CBB"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3,2% ao dia sobre o valor mensal do contrato</w:t>
            </w:r>
          </w:p>
        </w:tc>
      </w:tr>
    </w:tbl>
    <w:p w14:paraId="4B5F16D0" w14:textId="77777777" w:rsidR="009E3B74" w:rsidRPr="00BF0CBB" w:rsidRDefault="009E3B74" w:rsidP="00B222EE">
      <w:pPr>
        <w:spacing w:before="120" w:after="120" w:line="276" w:lineRule="auto"/>
        <w:ind w:right="-30"/>
        <w:jc w:val="center"/>
        <w:rPr>
          <w:rFonts w:cs="Arial"/>
          <w:b/>
          <w:bCs/>
          <w:szCs w:val="20"/>
        </w:rPr>
      </w:pPr>
    </w:p>
    <w:p w14:paraId="50E613C0" w14:textId="77777777" w:rsidR="009E3B74" w:rsidRPr="00BF0CBB" w:rsidRDefault="009E3B74" w:rsidP="00B222EE">
      <w:pPr>
        <w:spacing w:before="120" w:after="120" w:line="276" w:lineRule="auto"/>
        <w:ind w:right="-30"/>
        <w:jc w:val="center"/>
        <w:rPr>
          <w:rFonts w:cs="Arial"/>
          <w:b/>
          <w:bCs/>
          <w:szCs w:val="20"/>
        </w:rPr>
      </w:pPr>
    </w:p>
    <w:p w14:paraId="7BF1D307" w14:textId="19FB1876" w:rsidR="00B222EE" w:rsidRPr="00BF0CBB" w:rsidRDefault="00B222EE" w:rsidP="00B222EE">
      <w:pPr>
        <w:spacing w:before="120" w:after="120" w:line="276" w:lineRule="auto"/>
        <w:ind w:right="-30"/>
        <w:jc w:val="center"/>
        <w:rPr>
          <w:rFonts w:cs="Arial"/>
          <w:szCs w:val="20"/>
        </w:rPr>
      </w:pPr>
      <w:r w:rsidRPr="00BF0CBB">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BF0CBB"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INFRAÇÃO</w:t>
            </w:r>
          </w:p>
        </w:tc>
      </w:tr>
      <w:tr w:rsidR="00B222EE" w:rsidRPr="00BF0CBB"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GRAU</w:t>
            </w:r>
          </w:p>
        </w:tc>
      </w:tr>
      <w:tr w:rsidR="00B222EE" w:rsidRPr="00BF0CBB"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05</w:t>
            </w:r>
          </w:p>
        </w:tc>
      </w:tr>
      <w:tr w:rsidR="00B222EE" w:rsidRPr="00BF0CBB"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451C15DE" w:rsidR="00B222EE" w:rsidRPr="00BF0CBB" w:rsidRDefault="00B222EE" w:rsidP="00BF0CBB">
            <w:pPr>
              <w:spacing w:before="120" w:after="120" w:line="276" w:lineRule="auto"/>
              <w:ind w:right="-30"/>
              <w:jc w:val="center"/>
              <w:rPr>
                <w:rFonts w:cs="Arial"/>
                <w:szCs w:val="20"/>
              </w:rPr>
            </w:pPr>
            <w:r w:rsidRPr="00BF0CBB">
              <w:rPr>
                <w:rFonts w:cs="Arial"/>
                <w:szCs w:val="20"/>
              </w:rPr>
              <w:t>Suspender ou interromper, salvo motivo de força maior ou caso fortuito, os serviços contratuais por dia;</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04</w:t>
            </w:r>
          </w:p>
        </w:tc>
      </w:tr>
      <w:tr w:rsidR="00B222EE" w:rsidRPr="00BF0CBB"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03</w:t>
            </w:r>
          </w:p>
        </w:tc>
      </w:tr>
      <w:tr w:rsidR="00B222EE" w:rsidRPr="00BF0CBB"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02</w:t>
            </w:r>
          </w:p>
        </w:tc>
      </w:tr>
      <w:tr w:rsidR="00B222EE" w:rsidRPr="00BF0CBB"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21BC7AB" w:rsidR="00B222EE" w:rsidRPr="00BF0CBB" w:rsidRDefault="00747AC8" w:rsidP="008B0C2F">
            <w:pPr>
              <w:spacing w:before="120" w:after="120" w:line="276" w:lineRule="auto"/>
              <w:ind w:right="-30"/>
              <w:jc w:val="center"/>
              <w:rPr>
                <w:rFonts w:cs="Arial"/>
                <w:szCs w:val="20"/>
              </w:rPr>
            </w:pPr>
            <w:r w:rsidRPr="00BF0CBB">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B431506" w14:textId="669A5AEC" w:rsidR="00B222EE" w:rsidRPr="00BF0CBB" w:rsidRDefault="004E1118" w:rsidP="004E1118">
            <w:pPr>
              <w:spacing w:before="120" w:after="120" w:line="276" w:lineRule="auto"/>
              <w:ind w:right="-30"/>
              <w:jc w:val="center"/>
              <w:rPr>
                <w:rFonts w:cs="Arial"/>
                <w:szCs w:val="20"/>
              </w:rPr>
            </w:pPr>
            <w:r w:rsidRPr="00BF0CBB">
              <w:rPr>
                <w:rFonts w:cs="Arial"/>
                <w:szCs w:val="20"/>
              </w:rPr>
              <w:t>Deixar de c</w:t>
            </w:r>
            <w:r w:rsidR="00B222EE" w:rsidRPr="00BF0CBB">
              <w:rPr>
                <w:rFonts w:cs="Arial"/>
                <w:szCs w:val="20"/>
              </w:rPr>
              <w:t>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02</w:t>
            </w:r>
          </w:p>
        </w:tc>
      </w:tr>
      <w:tr w:rsidR="00B222EE" w:rsidRPr="00BF0CBB"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45D269F4" w:rsidR="00B222EE" w:rsidRPr="00BF0CBB" w:rsidRDefault="00747AC8" w:rsidP="008B0C2F">
            <w:pPr>
              <w:spacing w:before="120" w:after="120" w:line="276" w:lineRule="auto"/>
              <w:ind w:right="-30"/>
              <w:jc w:val="center"/>
              <w:rPr>
                <w:rFonts w:cs="Arial"/>
                <w:szCs w:val="20"/>
              </w:rPr>
            </w:pPr>
            <w:r w:rsidRPr="00BF0CBB">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5B794B2B" w14:textId="6625D672" w:rsidR="00B222EE" w:rsidRPr="00BF0CBB" w:rsidRDefault="004E1118" w:rsidP="008B0C2F">
            <w:pPr>
              <w:spacing w:before="120" w:after="120" w:line="276" w:lineRule="auto"/>
              <w:ind w:right="-30"/>
              <w:jc w:val="center"/>
              <w:rPr>
                <w:rFonts w:cs="Arial"/>
                <w:szCs w:val="20"/>
              </w:rPr>
            </w:pPr>
            <w:r w:rsidRPr="00BF0CBB">
              <w:rPr>
                <w:rFonts w:cs="Arial"/>
                <w:szCs w:val="20"/>
              </w:rPr>
              <w:t>Deixar de s</w:t>
            </w:r>
            <w:r w:rsidR="00B222EE" w:rsidRPr="00BF0CBB">
              <w:rPr>
                <w:rFonts w:cs="Arial"/>
                <w:szCs w:val="20"/>
              </w:rPr>
              <w:t>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01</w:t>
            </w:r>
          </w:p>
        </w:tc>
      </w:tr>
      <w:tr w:rsidR="00B222EE" w:rsidRPr="00BF0CBB"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50BF27EB" w:rsidR="00B222EE" w:rsidRPr="00BF0CBB" w:rsidRDefault="00747AC8" w:rsidP="008B0C2F">
            <w:pPr>
              <w:spacing w:before="120" w:after="120" w:line="276" w:lineRule="auto"/>
              <w:ind w:right="-30"/>
              <w:jc w:val="center"/>
              <w:rPr>
                <w:rFonts w:cs="Arial"/>
                <w:szCs w:val="20"/>
              </w:rPr>
            </w:pPr>
            <w:r w:rsidRPr="00BF0CBB">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1C38CC04" w14:textId="375E0CAF" w:rsidR="00B222EE" w:rsidRPr="00BF0CBB" w:rsidRDefault="004E1118" w:rsidP="00747AC8">
            <w:pPr>
              <w:spacing w:before="120" w:after="120" w:line="276" w:lineRule="auto"/>
              <w:ind w:right="-30"/>
              <w:jc w:val="center"/>
              <w:rPr>
                <w:rFonts w:cs="Arial"/>
                <w:szCs w:val="20"/>
              </w:rPr>
            </w:pPr>
            <w:r w:rsidRPr="00BF0CBB">
              <w:rPr>
                <w:rFonts w:cs="Arial"/>
                <w:szCs w:val="20"/>
              </w:rPr>
              <w:t>Deixar de c</w:t>
            </w:r>
            <w:r w:rsidR="00B222EE" w:rsidRPr="00BF0CBB">
              <w:rPr>
                <w:rFonts w:cs="Arial"/>
                <w:szCs w:val="20"/>
              </w:rPr>
              <w:t xml:space="preserve">umprir quaisquer dos itens do </w:t>
            </w:r>
            <w:r w:rsidR="00747AC8" w:rsidRPr="00BF0CBB">
              <w:rPr>
                <w:rFonts w:cs="Arial"/>
                <w:szCs w:val="20"/>
              </w:rPr>
              <w:t>Termo de Referência</w:t>
            </w:r>
            <w:r w:rsidR="00B222EE" w:rsidRPr="00BF0CBB">
              <w:rPr>
                <w:rFonts w:cs="Arial"/>
                <w:szCs w:val="20"/>
              </w:rPr>
              <w:t xml:space="preserve">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03</w:t>
            </w:r>
          </w:p>
        </w:tc>
      </w:tr>
    </w:tbl>
    <w:p w14:paraId="3A05AFED" w14:textId="0A6A2A35" w:rsidR="007F4C27" w:rsidRPr="00BF0CBB" w:rsidRDefault="007F4C27"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Também ficam sujeitas às penalidades do art. 87, III e IV da Lei nº 8.666, de 1993, as empresas ou profissionais que:</w:t>
      </w:r>
    </w:p>
    <w:p w14:paraId="073AD897" w14:textId="6F02917E" w:rsidR="007F4C27" w:rsidRPr="00BF0CBB"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T</w:t>
      </w:r>
      <w:r w:rsidR="007F4C27" w:rsidRPr="00BF0CBB">
        <w:rPr>
          <w:rFonts w:eastAsiaTheme="minorHAnsi" w:cs="Arial"/>
          <w:sz w:val="22"/>
          <w:szCs w:val="22"/>
          <w:lang w:eastAsia="en-US"/>
        </w:rPr>
        <w:t>enham sofrido condenação definitiva por praticar, por meio dolosos, fraude fiscal no recolhimento de quaisquer tributos;</w:t>
      </w:r>
    </w:p>
    <w:p w14:paraId="7793C2E3" w14:textId="6C6673C6" w:rsidR="007F4C27" w:rsidRPr="00BF0CBB"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T</w:t>
      </w:r>
      <w:r w:rsidR="007F4C27" w:rsidRPr="00BF0CBB">
        <w:rPr>
          <w:rFonts w:eastAsiaTheme="minorHAnsi" w:cs="Arial"/>
          <w:sz w:val="22"/>
          <w:szCs w:val="22"/>
          <w:lang w:eastAsia="en-US"/>
        </w:rPr>
        <w:t>enham praticado atos ilícitos visando a frustrar os objetivos da licitação;</w:t>
      </w:r>
    </w:p>
    <w:p w14:paraId="7AA87AD8" w14:textId="5A385F45" w:rsidR="007F4C27" w:rsidRPr="00BF0CBB"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D</w:t>
      </w:r>
      <w:r w:rsidR="007F4C27" w:rsidRPr="00BF0CBB">
        <w:rPr>
          <w:rFonts w:eastAsiaTheme="minorHAnsi" w:cs="Arial"/>
          <w:sz w:val="22"/>
          <w:szCs w:val="22"/>
          <w:lang w:eastAsia="en-US"/>
        </w:rPr>
        <w:t xml:space="preserve">emonstrem não possuir idoneidade para contratar com a Administração em virtude de atos ilícitos praticados. </w:t>
      </w:r>
    </w:p>
    <w:p w14:paraId="122B9CDA" w14:textId="77777777" w:rsidR="007F4C27" w:rsidRPr="00BF0CBB" w:rsidRDefault="007F4C27"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96A63CD" w14:textId="77777777"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1838CB0" w14:textId="28F1E953" w:rsidR="00D7051D" w:rsidRPr="00BF0CBB" w:rsidRDefault="00D7051D"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 xml:space="preserve">Caso a Contratante determine, a multa deverá ser recolhida no prazo máximo de </w:t>
      </w:r>
      <w:r w:rsidR="00411A98" w:rsidRPr="00BF0CBB">
        <w:rPr>
          <w:rFonts w:eastAsiaTheme="minorHAnsi" w:cs="Arial"/>
          <w:sz w:val="22"/>
          <w:szCs w:val="22"/>
          <w:lang w:eastAsia="en-US"/>
        </w:rPr>
        <w:t>30</w:t>
      </w:r>
      <w:r w:rsidRPr="00BF0CBB">
        <w:rPr>
          <w:rFonts w:eastAsiaTheme="minorHAnsi" w:cs="Arial"/>
          <w:sz w:val="22"/>
          <w:szCs w:val="22"/>
          <w:lang w:eastAsia="en-US"/>
        </w:rPr>
        <w:t xml:space="preserve"> (</w:t>
      </w:r>
      <w:r w:rsidR="00411A98" w:rsidRPr="00BF0CBB">
        <w:rPr>
          <w:rFonts w:eastAsiaTheme="minorHAnsi" w:cs="Arial"/>
          <w:sz w:val="22"/>
          <w:szCs w:val="22"/>
          <w:lang w:eastAsia="en-US"/>
        </w:rPr>
        <w:t>trinta</w:t>
      </w:r>
      <w:r w:rsidRPr="00BF0CBB">
        <w:rPr>
          <w:rFonts w:eastAsiaTheme="minorHAnsi" w:cs="Arial"/>
          <w:sz w:val="22"/>
          <w:szCs w:val="22"/>
          <w:lang w:eastAsia="en-US"/>
        </w:rPr>
        <w:t>) dias, a contar da data do recebimento da comunicação enviada pela autoridade competente.</w:t>
      </w:r>
    </w:p>
    <w:p w14:paraId="19003165" w14:textId="77777777" w:rsidR="00F639E1" w:rsidRPr="00BF0CBB" w:rsidRDefault="00F639E1"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Caso o valor da multa não seja suficiente para cobrir os prejuízos causados pela conduta do licitante, a União ou Entidade poderá cobrar o valor remanescente judicialmente, conforme artigo 419 do Código Civil.</w:t>
      </w:r>
    </w:p>
    <w:p w14:paraId="7EB8EDE9" w14:textId="77777777"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autoridade competente, na aplicação das sanções, levará em consideração a gravidade da conduta do infrator, o caráter educativo da pena, bem como o dano causado à Administração, observado o princípio da proporcionalidade.</w:t>
      </w:r>
    </w:p>
    <w:p w14:paraId="178C09C5" w14:textId="3A7C80BD"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Se, durante o process</w:t>
      </w:r>
      <w:r w:rsidR="00411A98" w:rsidRPr="00BF0CBB">
        <w:rPr>
          <w:rFonts w:eastAsiaTheme="minorHAnsi" w:cs="Arial"/>
          <w:sz w:val="22"/>
          <w:szCs w:val="22"/>
          <w:lang w:eastAsia="en-US"/>
        </w:rPr>
        <w:t>o de aplicação de penalidade,</w:t>
      </w:r>
      <w:r w:rsidRPr="00BF0CBB">
        <w:rPr>
          <w:rFonts w:eastAsiaTheme="minorHAnsi" w:cs="Arial"/>
          <w:sz w:val="22"/>
          <w:szCs w:val="22"/>
          <w:lang w:eastAsia="en-US"/>
        </w:rPr>
        <w:t xml:space="preserv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25F836F" w14:textId="77777777"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42345B" w14:textId="77777777"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62CD915B" w:rsidR="00DB206B" w:rsidRPr="00BF0CBB" w:rsidRDefault="00B222EE"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As penalidades serão obrigatoriamente registradas no </w:t>
      </w:r>
      <w:r w:rsidR="003C58CC" w:rsidRPr="00BF0CBB">
        <w:rPr>
          <w:rFonts w:eastAsiaTheme="minorHAnsi" w:cs="Arial"/>
          <w:sz w:val="22"/>
          <w:szCs w:val="22"/>
          <w:lang w:eastAsia="en-US"/>
        </w:rPr>
        <w:t>SICAF</w:t>
      </w:r>
      <w:r w:rsidRPr="00BF0CBB">
        <w:rPr>
          <w:rFonts w:eastAsiaTheme="minorHAnsi" w:cs="Arial"/>
          <w:sz w:val="22"/>
          <w:szCs w:val="22"/>
          <w:lang w:eastAsia="en-US"/>
        </w:rPr>
        <w:t>.</w:t>
      </w:r>
    </w:p>
    <w:p w14:paraId="2FE86A47" w14:textId="4F3BB31F" w:rsidR="009439A2" w:rsidRPr="00BF0CBB" w:rsidRDefault="009439A2" w:rsidP="000E1C93">
      <w:pPr>
        <w:pStyle w:val="Nivel1"/>
        <w:rPr>
          <w:rFonts w:cs="Arial"/>
          <w:color w:val="auto"/>
          <w:sz w:val="22"/>
          <w:szCs w:val="22"/>
        </w:rPr>
      </w:pPr>
      <w:r w:rsidRPr="00BF0CBB">
        <w:rPr>
          <w:rFonts w:cs="Arial"/>
          <w:color w:val="auto"/>
          <w:sz w:val="22"/>
          <w:szCs w:val="22"/>
        </w:rPr>
        <w:t>CRITÉRIOS DE SELEÇÃO DO FORNECEDOR.</w:t>
      </w:r>
    </w:p>
    <w:p w14:paraId="2EE96D9B" w14:textId="70BB577F" w:rsidR="009439A2" w:rsidRPr="00BF0CBB"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 exigências de habilitação j</w:t>
      </w:r>
      <w:bookmarkStart w:id="2" w:name="_GoBack"/>
      <w:bookmarkEnd w:id="2"/>
      <w:r w:rsidRPr="00BF0CBB">
        <w:rPr>
          <w:rFonts w:eastAsiaTheme="minorHAnsi" w:cs="Arial"/>
          <w:sz w:val="22"/>
          <w:szCs w:val="22"/>
          <w:lang w:eastAsia="en-US"/>
        </w:rPr>
        <w:t>urídica e de regularidade fiscal e trabalhista são as usuais para a generalidade dos objetos, con</w:t>
      </w:r>
      <w:r w:rsidR="000E1C93" w:rsidRPr="00BF0CBB">
        <w:rPr>
          <w:rFonts w:eastAsiaTheme="minorHAnsi" w:cs="Arial"/>
          <w:sz w:val="22"/>
          <w:szCs w:val="22"/>
          <w:lang w:eastAsia="en-US"/>
        </w:rPr>
        <w:t>forme disciplinado na legislação vigente</w:t>
      </w:r>
      <w:r w:rsidRPr="00BF0CBB">
        <w:rPr>
          <w:rFonts w:eastAsiaTheme="minorHAnsi" w:cs="Arial"/>
          <w:sz w:val="22"/>
          <w:szCs w:val="22"/>
          <w:lang w:eastAsia="en-US"/>
        </w:rPr>
        <w:t>.</w:t>
      </w:r>
    </w:p>
    <w:p w14:paraId="4C1E90AD" w14:textId="6AC13933" w:rsidR="009439A2" w:rsidRPr="00BF0CBB"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Os critérios de qualificação econômica a serem atendidos pelo fornecedor estão previstos </w:t>
      </w:r>
      <w:r w:rsidR="000E1C93" w:rsidRPr="00BF0CBB">
        <w:rPr>
          <w:rFonts w:eastAsiaTheme="minorHAnsi" w:cs="Arial"/>
          <w:sz w:val="22"/>
          <w:szCs w:val="22"/>
          <w:lang w:eastAsia="en-US"/>
        </w:rPr>
        <w:t>na legislação vigente</w:t>
      </w:r>
      <w:r w:rsidRPr="00BF0CBB">
        <w:rPr>
          <w:rFonts w:eastAsiaTheme="minorHAnsi" w:cs="Arial"/>
          <w:sz w:val="22"/>
          <w:szCs w:val="22"/>
          <w:lang w:eastAsia="en-US"/>
        </w:rPr>
        <w:t>.</w:t>
      </w:r>
    </w:p>
    <w:p w14:paraId="5478F57D" w14:textId="77777777" w:rsidR="006C05F6" w:rsidRPr="00BF0CBB" w:rsidRDefault="006C05F6"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Os critérios de aceitabilidade de preços serão:</w:t>
      </w:r>
    </w:p>
    <w:p w14:paraId="1CC7A3A7" w14:textId="66B9D386" w:rsidR="004C0D14" w:rsidRPr="00BF0CBB" w:rsidRDefault="000E1C93" w:rsidP="000E1C93">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Valor Glo</w:t>
      </w:r>
      <w:r w:rsidR="008F5DA5">
        <w:rPr>
          <w:rFonts w:eastAsiaTheme="minorHAnsi" w:cs="Arial"/>
          <w:sz w:val="22"/>
          <w:szCs w:val="22"/>
          <w:lang w:eastAsia="en-US"/>
        </w:rPr>
        <w:t>bal:</w:t>
      </w:r>
      <w:r w:rsidR="008F5DA5" w:rsidRPr="008F5DA5">
        <w:rPr>
          <w:rFonts w:eastAsiaTheme="minorHAnsi" w:cs="Arial"/>
          <w:sz w:val="22"/>
          <w:szCs w:val="22"/>
          <w:lang w:eastAsia="en-US"/>
        </w:rPr>
        <w:t xml:space="preserve"> </w:t>
      </w:r>
      <w:r w:rsidR="008F5DA5" w:rsidRPr="008F5DA5">
        <w:rPr>
          <w:rFonts w:eastAsiaTheme="minorHAnsi" w:cs="Arial"/>
          <w:sz w:val="22"/>
          <w:szCs w:val="22"/>
          <w:lang w:eastAsia="en-US"/>
        </w:rPr>
        <w:t>R$ 7.014,93</w:t>
      </w:r>
      <w:r w:rsidRPr="008F5DA5">
        <w:rPr>
          <w:rFonts w:eastAsiaTheme="minorHAnsi" w:cs="Arial"/>
          <w:sz w:val="22"/>
          <w:szCs w:val="22"/>
          <w:lang w:eastAsia="en-US"/>
        </w:rPr>
        <w:t xml:space="preserve"> (</w:t>
      </w:r>
      <w:r w:rsidR="008F5DA5">
        <w:rPr>
          <w:rFonts w:eastAsiaTheme="minorHAnsi" w:cs="Arial"/>
          <w:sz w:val="22"/>
          <w:szCs w:val="22"/>
          <w:lang w:eastAsia="en-US"/>
        </w:rPr>
        <w:t>sete mil, quatorze</w:t>
      </w:r>
      <w:r w:rsidRPr="008F5DA5">
        <w:rPr>
          <w:rFonts w:eastAsiaTheme="minorHAnsi" w:cs="Arial"/>
          <w:sz w:val="22"/>
          <w:szCs w:val="22"/>
          <w:lang w:eastAsia="en-US"/>
        </w:rPr>
        <w:t xml:space="preserve"> reais</w:t>
      </w:r>
      <w:r w:rsidR="008F5DA5">
        <w:rPr>
          <w:rFonts w:eastAsiaTheme="minorHAnsi" w:cs="Arial"/>
          <w:sz w:val="22"/>
          <w:szCs w:val="22"/>
          <w:lang w:eastAsia="en-US"/>
        </w:rPr>
        <w:t xml:space="preserve"> e noventa e três centavos</w:t>
      </w:r>
      <w:r w:rsidRPr="008F5DA5">
        <w:rPr>
          <w:rFonts w:eastAsiaTheme="minorHAnsi" w:cs="Arial"/>
          <w:sz w:val="22"/>
          <w:szCs w:val="22"/>
          <w:lang w:eastAsia="en-US"/>
        </w:rPr>
        <w:t>).</w:t>
      </w:r>
      <w:r w:rsidRPr="00357497">
        <w:rPr>
          <w:rFonts w:eastAsiaTheme="minorHAnsi" w:cs="Arial"/>
          <w:color w:val="FF0000"/>
          <w:sz w:val="22"/>
          <w:szCs w:val="22"/>
          <w:lang w:eastAsia="en-US"/>
        </w:rPr>
        <w:t xml:space="preserve"> </w:t>
      </w:r>
    </w:p>
    <w:p w14:paraId="4D9E6CBE" w14:textId="77777777" w:rsidR="009439A2" w:rsidRPr="00BF0CBB"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critério de julgamento da proposta é o menor preço global.</w:t>
      </w:r>
    </w:p>
    <w:p w14:paraId="1CE667AA" w14:textId="77777777" w:rsidR="009439A2" w:rsidRPr="00BF0CBB" w:rsidRDefault="009439A2" w:rsidP="001051B8">
      <w:pPr>
        <w:pStyle w:val="Nivel1"/>
        <w:rPr>
          <w:rFonts w:cs="Arial"/>
          <w:color w:val="auto"/>
          <w:sz w:val="22"/>
          <w:szCs w:val="22"/>
        </w:rPr>
      </w:pPr>
      <w:r w:rsidRPr="00BF0CBB">
        <w:rPr>
          <w:rFonts w:cs="Arial"/>
          <w:color w:val="auto"/>
          <w:sz w:val="22"/>
          <w:szCs w:val="22"/>
        </w:rPr>
        <w:t>ESTIMATIVA DE PREÇOS E PREÇOS REFERENCIAIS.</w:t>
      </w:r>
    </w:p>
    <w:p w14:paraId="38D7D65A"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4B470FF7"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003C4556"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233C961D"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66578DE8"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47EBEE6C" w14:textId="3094BA0A" w:rsidR="00381881" w:rsidRPr="008F5DA5" w:rsidRDefault="00381881" w:rsidP="001051B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F5DA5">
        <w:rPr>
          <w:rFonts w:eastAsiaTheme="minorHAnsi" w:cs="Arial"/>
          <w:sz w:val="22"/>
          <w:szCs w:val="22"/>
          <w:lang w:eastAsia="en-US"/>
        </w:rPr>
        <w:t xml:space="preserve">O custo estimado da contratação é de </w:t>
      </w:r>
      <w:r w:rsidR="008F5DA5" w:rsidRPr="008F5DA5">
        <w:rPr>
          <w:rFonts w:eastAsiaTheme="minorHAnsi" w:cs="Arial"/>
          <w:sz w:val="22"/>
          <w:szCs w:val="22"/>
          <w:lang w:eastAsia="en-US"/>
        </w:rPr>
        <w:t>R$ 7.014,93 (sete mil, quatorze reais e noventa e três centavos)</w:t>
      </w:r>
      <w:r w:rsidR="008F5DA5" w:rsidRPr="008F5DA5">
        <w:rPr>
          <w:rFonts w:eastAsiaTheme="minorHAnsi" w:cs="Arial"/>
          <w:sz w:val="22"/>
          <w:szCs w:val="22"/>
          <w:lang w:eastAsia="en-US"/>
        </w:rPr>
        <w:t>.</w:t>
      </w:r>
    </w:p>
    <w:p w14:paraId="772259B8" w14:textId="70B327C7" w:rsidR="009439A2" w:rsidRPr="00BF0CBB" w:rsidRDefault="009439A2" w:rsidP="001051B8">
      <w:pPr>
        <w:pStyle w:val="Nivel1"/>
        <w:rPr>
          <w:rFonts w:cs="Arial"/>
          <w:color w:val="auto"/>
          <w:sz w:val="22"/>
          <w:szCs w:val="22"/>
        </w:rPr>
      </w:pPr>
      <w:r w:rsidRPr="00BF0CBB">
        <w:rPr>
          <w:rFonts w:cs="Arial"/>
          <w:color w:val="auto"/>
          <w:sz w:val="22"/>
          <w:szCs w:val="22"/>
        </w:rPr>
        <w:t>DOS RECURSOS ORÇAMENTÁRIOS.</w:t>
      </w:r>
    </w:p>
    <w:p w14:paraId="44308121" w14:textId="77777777" w:rsidR="001051B8" w:rsidRPr="00BF0CBB" w:rsidRDefault="001051B8" w:rsidP="001051B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dotação orçamentária será informada posteriormente pela Gerência de Licitações e Contratos.</w:t>
      </w:r>
    </w:p>
    <w:p w14:paraId="50504736" w14:textId="77777777" w:rsidR="009E3B74" w:rsidRPr="00BF0CBB" w:rsidRDefault="009E3B74" w:rsidP="00677F21">
      <w:pPr>
        <w:spacing w:after="360"/>
        <w:ind w:left="360"/>
        <w:rPr>
          <w:rFonts w:cs="Arial"/>
          <w:szCs w:val="20"/>
        </w:rPr>
      </w:pPr>
    </w:p>
    <w:p w14:paraId="61915FCE" w14:textId="1EECF3FC" w:rsidR="009E3B74" w:rsidRPr="00BF0CBB" w:rsidRDefault="00BE0E2A" w:rsidP="00677F21">
      <w:pPr>
        <w:spacing w:after="360"/>
        <w:ind w:left="360"/>
        <w:rPr>
          <w:rFonts w:cs="Arial"/>
          <w:szCs w:val="20"/>
        </w:rPr>
      </w:pPr>
      <w:r>
        <w:rPr>
          <w:rFonts w:cs="Arial"/>
          <w:szCs w:val="20"/>
        </w:rPr>
        <w:t>Porto Alegre</w:t>
      </w:r>
      <w:r w:rsidR="00677F21" w:rsidRPr="00BF0CBB">
        <w:rPr>
          <w:rFonts w:cs="Arial"/>
          <w:szCs w:val="20"/>
        </w:rPr>
        <w:t xml:space="preserve">, </w:t>
      </w:r>
      <w:r w:rsidR="00BF0CBB" w:rsidRPr="00BF0CBB">
        <w:rPr>
          <w:rFonts w:cs="Arial"/>
          <w:szCs w:val="20"/>
        </w:rPr>
        <w:t>1</w:t>
      </w:r>
      <w:r w:rsidR="004274BD">
        <w:rPr>
          <w:rFonts w:cs="Arial"/>
          <w:szCs w:val="20"/>
        </w:rPr>
        <w:t>4</w:t>
      </w:r>
      <w:r w:rsidR="00677F21" w:rsidRPr="00BF0CBB">
        <w:rPr>
          <w:rFonts w:cs="Arial"/>
          <w:szCs w:val="20"/>
        </w:rPr>
        <w:t xml:space="preserve"> de </w:t>
      </w:r>
      <w:r w:rsidR="00357497">
        <w:rPr>
          <w:rFonts w:cs="Arial"/>
          <w:szCs w:val="20"/>
        </w:rPr>
        <w:t>dez</w:t>
      </w:r>
      <w:r w:rsidR="00BF0CBB" w:rsidRPr="00BF0CBB">
        <w:rPr>
          <w:rFonts w:cs="Arial"/>
          <w:szCs w:val="20"/>
        </w:rPr>
        <w:t>emb</w:t>
      </w:r>
      <w:r w:rsidR="001051B8" w:rsidRPr="00BF0CBB">
        <w:rPr>
          <w:rFonts w:cs="Arial"/>
          <w:szCs w:val="20"/>
        </w:rPr>
        <w:t>ro</w:t>
      </w:r>
      <w:r w:rsidR="00677F21" w:rsidRPr="00BF0CBB">
        <w:rPr>
          <w:rFonts w:cs="Arial"/>
          <w:szCs w:val="20"/>
        </w:rPr>
        <w:t xml:space="preserve"> de </w:t>
      </w:r>
      <w:r w:rsidR="001051B8" w:rsidRPr="00BF0CBB">
        <w:rPr>
          <w:rFonts w:cs="Arial"/>
          <w:szCs w:val="20"/>
        </w:rPr>
        <w:t>2020</w:t>
      </w:r>
      <w:r w:rsidR="00677F21" w:rsidRPr="00BF0CBB">
        <w:rPr>
          <w:rFonts w:cs="Arial"/>
          <w:szCs w:val="20"/>
        </w:rPr>
        <w:t xml:space="preserve"> </w:t>
      </w:r>
    </w:p>
    <w:p w14:paraId="014D2043" w14:textId="0358BA6E" w:rsidR="00677F21" w:rsidRDefault="00357497" w:rsidP="009E3B74">
      <w:pPr>
        <w:spacing w:after="360"/>
        <w:ind w:left="360"/>
        <w:rPr>
          <w:rFonts w:cs="Arial"/>
          <w:szCs w:val="20"/>
        </w:rPr>
      </w:pPr>
      <w:r>
        <w:rPr>
          <w:rFonts w:cs="Arial"/>
          <w:szCs w:val="20"/>
        </w:rPr>
        <w:t>José Ademir Menezes Allama</w:t>
      </w:r>
    </w:p>
    <w:p w14:paraId="6E97F315" w14:textId="77777777" w:rsidR="004274BD" w:rsidRPr="004274BD" w:rsidRDefault="004274BD" w:rsidP="004274BD">
      <w:pPr>
        <w:spacing w:after="360"/>
        <w:ind w:left="360"/>
        <w:rPr>
          <w:rFonts w:cs="Arial"/>
          <w:szCs w:val="20"/>
        </w:rPr>
      </w:pPr>
      <w:r w:rsidRPr="004274BD">
        <w:rPr>
          <w:rFonts w:cs="Arial"/>
          <w:szCs w:val="20"/>
        </w:rPr>
        <w:t>Thiago de Mello Reck</w:t>
      </w:r>
    </w:p>
    <w:sectPr w:rsidR="004274BD" w:rsidRPr="004274BD" w:rsidSect="00DF3B36">
      <w:pgSz w:w="11906" w:h="16838"/>
      <w:pgMar w:top="993" w:right="99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2E6CA" w14:textId="77777777" w:rsidR="00705327" w:rsidRDefault="00705327">
      <w:r>
        <w:separator/>
      </w:r>
    </w:p>
  </w:endnote>
  <w:endnote w:type="continuationSeparator" w:id="0">
    <w:p w14:paraId="3EB03BC6" w14:textId="77777777" w:rsidR="00705327" w:rsidRDefault="00705327">
      <w:r>
        <w:continuationSeparator/>
      </w:r>
    </w:p>
  </w:endnote>
  <w:endnote w:type="continuationNotice" w:id="1">
    <w:p w14:paraId="23C929E9" w14:textId="77777777" w:rsidR="00705327" w:rsidRDefault="00705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B3CF8" w14:textId="77777777" w:rsidR="00705327" w:rsidRDefault="00705327">
      <w:r>
        <w:separator/>
      </w:r>
    </w:p>
  </w:footnote>
  <w:footnote w:type="continuationSeparator" w:id="0">
    <w:p w14:paraId="0DBBF075" w14:textId="77777777" w:rsidR="00705327" w:rsidRDefault="00705327">
      <w:r>
        <w:continuationSeparator/>
      </w:r>
    </w:p>
  </w:footnote>
  <w:footnote w:type="continuationNotice" w:id="1">
    <w:p w14:paraId="0987522F" w14:textId="77777777" w:rsidR="00705327" w:rsidRDefault="0070532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15:restartNumberingAfterBreak="0">
    <w:nsid w:val="1D5C100D"/>
    <w:multiLevelType w:val="multilevel"/>
    <w:tmpl w:val="CCD491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i w:val="0"/>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AD4C50"/>
    <w:multiLevelType w:val="multilevel"/>
    <w:tmpl w:val="AF2CA01C"/>
    <w:lvl w:ilvl="0">
      <w:numFmt w:val="bullet"/>
      <w:lvlText w:val=""/>
      <w:lvlJc w:val="left"/>
      <w:pPr>
        <w:ind w:left="2520" w:hanging="360"/>
      </w:pPr>
      <w:rPr>
        <w:rFonts w:ascii="Symbol" w:hAnsi="Symbol"/>
      </w:rPr>
    </w:lvl>
    <w:lvl w:ilvl="1">
      <w:numFmt w:val="bullet"/>
      <w:lvlText w:val="o"/>
      <w:lvlJc w:val="left"/>
      <w:pPr>
        <w:ind w:left="3240" w:hanging="360"/>
      </w:pPr>
      <w:rPr>
        <w:rFonts w:ascii="Courier New" w:hAnsi="Courier New" w:cs="Courier New"/>
      </w:rPr>
    </w:lvl>
    <w:lvl w:ilvl="2">
      <w:numFmt w:val="bullet"/>
      <w:lvlText w:val=""/>
      <w:lvlJc w:val="left"/>
      <w:pPr>
        <w:ind w:left="3960" w:hanging="360"/>
      </w:pPr>
      <w:rPr>
        <w:rFonts w:ascii="Wingdings" w:hAnsi="Wingdings"/>
      </w:rPr>
    </w:lvl>
    <w:lvl w:ilvl="3">
      <w:numFmt w:val="bullet"/>
      <w:lvlText w:val=""/>
      <w:lvlJc w:val="left"/>
      <w:pPr>
        <w:ind w:left="4680" w:hanging="360"/>
      </w:pPr>
      <w:rPr>
        <w:rFonts w:ascii="Symbol" w:hAnsi="Symbol"/>
      </w:rPr>
    </w:lvl>
    <w:lvl w:ilvl="4">
      <w:numFmt w:val="bullet"/>
      <w:lvlText w:val="o"/>
      <w:lvlJc w:val="left"/>
      <w:pPr>
        <w:ind w:left="5400" w:hanging="360"/>
      </w:pPr>
      <w:rPr>
        <w:rFonts w:ascii="Courier New" w:hAnsi="Courier New" w:cs="Courier New"/>
      </w:rPr>
    </w:lvl>
    <w:lvl w:ilvl="5">
      <w:numFmt w:val="bullet"/>
      <w:lvlText w:val=""/>
      <w:lvlJc w:val="left"/>
      <w:pPr>
        <w:ind w:left="6120" w:hanging="360"/>
      </w:pPr>
      <w:rPr>
        <w:rFonts w:ascii="Wingdings" w:hAnsi="Wingdings"/>
      </w:rPr>
    </w:lvl>
    <w:lvl w:ilvl="6">
      <w:numFmt w:val="bullet"/>
      <w:lvlText w:val=""/>
      <w:lvlJc w:val="left"/>
      <w:pPr>
        <w:ind w:left="6840" w:hanging="360"/>
      </w:pPr>
      <w:rPr>
        <w:rFonts w:ascii="Symbol" w:hAnsi="Symbol"/>
      </w:rPr>
    </w:lvl>
    <w:lvl w:ilvl="7">
      <w:numFmt w:val="bullet"/>
      <w:lvlText w:val="o"/>
      <w:lvlJc w:val="left"/>
      <w:pPr>
        <w:ind w:left="7560" w:hanging="360"/>
      </w:pPr>
      <w:rPr>
        <w:rFonts w:ascii="Courier New" w:hAnsi="Courier New" w:cs="Courier New"/>
      </w:rPr>
    </w:lvl>
    <w:lvl w:ilvl="8">
      <w:numFmt w:val="bullet"/>
      <w:lvlText w:val=""/>
      <w:lvlJc w:val="left"/>
      <w:pPr>
        <w:ind w:left="8280" w:hanging="360"/>
      </w:pPr>
      <w:rPr>
        <w:rFonts w:ascii="Wingdings" w:hAnsi="Wingdings"/>
      </w:rPr>
    </w:lvl>
  </w:abstractNum>
  <w:abstractNum w:abstractNumId="6"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DB1"/>
    <w:rsid w:val="0000144E"/>
    <w:rsid w:val="0000236D"/>
    <w:rsid w:val="00003298"/>
    <w:rsid w:val="00003EEC"/>
    <w:rsid w:val="00006925"/>
    <w:rsid w:val="00006FA5"/>
    <w:rsid w:val="00010AC1"/>
    <w:rsid w:val="000179C9"/>
    <w:rsid w:val="0002260C"/>
    <w:rsid w:val="0002306D"/>
    <w:rsid w:val="000242C8"/>
    <w:rsid w:val="0002580C"/>
    <w:rsid w:val="00027155"/>
    <w:rsid w:val="00027A7E"/>
    <w:rsid w:val="00030768"/>
    <w:rsid w:val="000318BA"/>
    <w:rsid w:val="00031DD6"/>
    <w:rsid w:val="00034151"/>
    <w:rsid w:val="00034752"/>
    <w:rsid w:val="00034A29"/>
    <w:rsid w:val="00040957"/>
    <w:rsid w:val="00042693"/>
    <w:rsid w:val="00042848"/>
    <w:rsid w:val="00042959"/>
    <w:rsid w:val="00047D73"/>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FC4"/>
    <w:rsid w:val="00087EF2"/>
    <w:rsid w:val="0009021C"/>
    <w:rsid w:val="00090F5D"/>
    <w:rsid w:val="00091FCF"/>
    <w:rsid w:val="00092759"/>
    <w:rsid w:val="00092BD1"/>
    <w:rsid w:val="00094321"/>
    <w:rsid w:val="0009529A"/>
    <w:rsid w:val="000A102A"/>
    <w:rsid w:val="000A1A7B"/>
    <w:rsid w:val="000A1B88"/>
    <w:rsid w:val="000A1D53"/>
    <w:rsid w:val="000A23DA"/>
    <w:rsid w:val="000A674F"/>
    <w:rsid w:val="000A7BA1"/>
    <w:rsid w:val="000B1720"/>
    <w:rsid w:val="000B1DC7"/>
    <w:rsid w:val="000B5E1F"/>
    <w:rsid w:val="000B648F"/>
    <w:rsid w:val="000B7131"/>
    <w:rsid w:val="000B7B55"/>
    <w:rsid w:val="000C123B"/>
    <w:rsid w:val="000C21AD"/>
    <w:rsid w:val="000C2C16"/>
    <w:rsid w:val="000C54FA"/>
    <w:rsid w:val="000C670A"/>
    <w:rsid w:val="000C674C"/>
    <w:rsid w:val="000D04A9"/>
    <w:rsid w:val="000D0A06"/>
    <w:rsid w:val="000D1378"/>
    <w:rsid w:val="000D144E"/>
    <w:rsid w:val="000D2AC3"/>
    <w:rsid w:val="000D2D37"/>
    <w:rsid w:val="000D390A"/>
    <w:rsid w:val="000D3CCD"/>
    <w:rsid w:val="000D7559"/>
    <w:rsid w:val="000E1C93"/>
    <w:rsid w:val="000E29DB"/>
    <w:rsid w:val="000E3F1D"/>
    <w:rsid w:val="000E4B9C"/>
    <w:rsid w:val="000E7388"/>
    <w:rsid w:val="000E74B9"/>
    <w:rsid w:val="000F0351"/>
    <w:rsid w:val="000F1C1C"/>
    <w:rsid w:val="000F1EF3"/>
    <w:rsid w:val="000F3454"/>
    <w:rsid w:val="000F4088"/>
    <w:rsid w:val="000F411A"/>
    <w:rsid w:val="000F4F96"/>
    <w:rsid w:val="000F5805"/>
    <w:rsid w:val="000F5A07"/>
    <w:rsid w:val="000F7DB8"/>
    <w:rsid w:val="000F7E92"/>
    <w:rsid w:val="00100990"/>
    <w:rsid w:val="00102FD5"/>
    <w:rsid w:val="00104A79"/>
    <w:rsid w:val="001051B8"/>
    <w:rsid w:val="00105707"/>
    <w:rsid w:val="00105B9D"/>
    <w:rsid w:val="0010670C"/>
    <w:rsid w:val="001103FF"/>
    <w:rsid w:val="00111869"/>
    <w:rsid w:val="001139C0"/>
    <w:rsid w:val="00113EEB"/>
    <w:rsid w:val="00114259"/>
    <w:rsid w:val="00116FC6"/>
    <w:rsid w:val="001213C6"/>
    <w:rsid w:val="001219B0"/>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3CE3"/>
    <w:rsid w:val="001449A3"/>
    <w:rsid w:val="00144F4E"/>
    <w:rsid w:val="00144F83"/>
    <w:rsid w:val="00146BDF"/>
    <w:rsid w:val="001516EA"/>
    <w:rsid w:val="00153E25"/>
    <w:rsid w:val="00154505"/>
    <w:rsid w:val="001545A4"/>
    <w:rsid w:val="0015476C"/>
    <w:rsid w:val="001547AD"/>
    <w:rsid w:val="0015519E"/>
    <w:rsid w:val="0015684D"/>
    <w:rsid w:val="00160BBD"/>
    <w:rsid w:val="00160DA4"/>
    <w:rsid w:val="0016171E"/>
    <w:rsid w:val="0016584A"/>
    <w:rsid w:val="00165FBC"/>
    <w:rsid w:val="001671BF"/>
    <w:rsid w:val="00167D00"/>
    <w:rsid w:val="00170CE1"/>
    <w:rsid w:val="0017338E"/>
    <w:rsid w:val="00174CAA"/>
    <w:rsid w:val="00175E4B"/>
    <w:rsid w:val="0017673D"/>
    <w:rsid w:val="00177CD5"/>
    <w:rsid w:val="001815FF"/>
    <w:rsid w:val="001817D2"/>
    <w:rsid w:val="00183AF9"/>
    <w:rsid w:val="00183C33"/>
    <w:rsid w:val="00184086"/>
    <w:rsid w:val="0019028F"/>
    <w:rsid w:val="001904A8"/>
    <w:rsid w:val="00193E85"/>
    <w:rsid w:val="001950B6"/>
    <w:rsid w:val="00196500"/>
    <w:rsid w:val="001A1732"/>
    <w:rsid w:val="001A2CE9"/>
    <w:rsid w:val="001A3A05"/>
    <w:rsid w:val="001A3E18"/>
    <w:rsid w:val="001A408A"/>
    <w:rsid w:val="001A585B"/>
    <w:rsid w:val="001B005B"/>
    <w:rsid w:val="001B373F"/>
    <w:rsid w:val="001B5D5F"/>
    <w:rsid w:val="001B7BE2"/>
    <w:rsid w:val="001C0CEC"/>
    <w:rsid w:val="001C270F"/>
    <w:rsid w:val="001C30D7"/>
    <w:rsid w:val="001C3AB6"/>
    <w:rsid w:val="001C3F32"/>
    <w:rsid w:val="001C425C"/>
    <w:rsid w:val="001C48B6"/>
    <w:rsid w:val="001C4C04"/>
    <w:rsid w:val="001C5006"/>
    <w:rsid w:val="001C694F"/>
    <w:rsid w:val="001C7174"/>
    <w:rsid w:val="001C721E"/>
    <w:rsid w:val="001D0D66"/>
    <w:rsid w:val="001D2048"/>
    <w:rsid w:val="001D279B"/>
    <w:rsid w:val="001D2D2B"/>
    <w:rsid w:val="001D5497"/>
    <w:rsid w:val="001D5915"/>
    <w:rsid w:val="001D6D07"/>
    <w:rsid w:val="001E10E8"/>
    <w:rsid w:val="001E260F"/>
    <w:rsid w:val="001E316F"/>
    <w:rsid w:val="001E3AAF"/>
    <w:rsid w:val="001E65F6"/>
    <w:rsid w:val="001E707D"/>
    <w:rsid w:val="001F0A6E"/>
    <w:rsid w:val="001F1959"/>
    <w:rsid w:val="001F39FA"/>
    <w:rsid w:val="001F7078"/>
    <w:rsid w:val="001F731E"/>
    <w:rsid w:val="002004CF"/>
    <w:rsid w:val="00202A04"/>
    <w:rsid w:val="00202D3A"/>
    <w:rsid w:val="002033DE"/>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A13"/>
    <w:rsid w:val="00231E9C"/>
    <w:rsid w:val="002329EE"/>
    <w:rsid w:val="002361A4"/>
    <w:rsid w:val="00236835"/>
    <w:rsid w:val="00236B0F"/>
    <w:rsid w:val="00240B17"/>
    <w:rsid w:val="00241785"/>
    <w:rsid w:val="00241D78"/>
    <w:rsid w:val="00242D13"/>
    <w:rsid w:val="00242E77"/>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801FA"/>
    <w:rsid w:val="00280B30"/>
    <w:rsid w:val="002838CC"/>
    <w:rsid w:val="002839F7"/>
    <w:rsid w:val="0028765E"/>
    <w:rsid w:val="0029037D"/>
    <w:rsid w:val="00292217"/>
    <w:rsid w:val="002937D4"/>
    <w:rsid w:val="0029388F"/>
    <w:rsid w:val="00293A02"/>
    <w:rsid w:val="002A08C8"/>
    <w:rsid w:val="002A763F"/>
    <w:rsid w:val="002A7EC0"/>
    <w:rsid w:val="002B5FB0"/>
    <w:rsid w:val="002B6E5C"/>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23D8"/>
    <w:rsid w:val="002F308B"/>
    <w:rsid w:val="002F6B34"/>
    <w:rsid w:val="002F6BC8"/>
    <w:rsid w:val="002F71DC"/>
    <w:rsid w:val="00303A36"/>
    <w:rsid w:val="00304F66"/>
    <w:rsid w:val="003053DD"/>
    <w:rsid w:val="00307CB7"/>
    <w:rsid w:val="00310B4A"/>
    <w:rsid w:val="003133C8"/>
    <w:rsid w:val="00313C30"/>
    <w:rsid w:val="0031762E"/>
    <w:rsid w:val="00320359"/>
    <w:rsid w:val="00321EDD"/>
    <w:rsid w:val="00322C16"/>
    <w:rsid w:val="003238C3"/>
    <w:rsid w:val="003241DC"/>
    <w:rsid w:val="00324BCD"/>
    <w:rsid w:val="00324F30"/>
    <w:rsid w:val="00325023"/>
    <w:rsid w:val="00325FD8"/>
    <w:rsid w:val="003265B9"/>
    <w:rsid w:val="00327232"/>
    <w:rsid w:val="00327BC6"/>
    <w:rsid w:val="00331182"/>
    <w:rsid w:val="00335AB9"/>
    <w:rsid w:val="00336DD6"/>
    <w:rsid w:val="00340EE0"/>
    <w:rsid w:val="0034272D"/>
    <w:rsid w:val="00343032"/>
    <w:rsid w:val="00345A4E"/>
    <w:rsid w:val="00345FAF"/>
    <w:rsid w:val="003464AF"/>
    <w:rsid w:val="00346F7E"/>
    <w:rsid w:val="00350762"/>
    <w:rsid w:val="00350773"/>
    <w:rsid w:val="00354BED"/>
    <w:rsid w:val="0035658A"/>
    <w:rsid w:val="00357497"/>
    <w:rsid w:val="0036371D"/>
    <w:rsid w:val="00364141"/>
    <w:rsid w:val="00364909"/>
    <w:rsid w:val="00364BC4"/>
    <w:rsid w:val="003678D6"/>
    <w:rsid w:val="00367EF6"/>
    <w:rsid w:val="00372E24"/>
    <w:rsid w:val="00373F2A"/>
    <w:rsid w:val="003779A2"/>
    <w:rsid w:val="0038050C"/>
    <w:rsid w:val="00380639"/>
    <w:rsid w:val="0038139C"/>
    <w:rsid w:val="00381881"/>
    <w:rsid w:val="003830F0"/>
    <w:rsid w:val="00383116"/>
    <w:rsid w:val="00383BEC"/>
    <w:rsid w:val="00383FD9"/>
    <w:rsid w:val="00386157"/>
    <w:rsid w:val="00386ADE"/>
    <w:rsid w:val="00391E14"/>
    <w:rsid w:val="003957AB"/>
    <w:rsid w:val="003959F6"/>
    <w:rsid w:val="00396920"/>
    <w:rsid w:val="003A3D13"/>
    <w:rsid w:val="003A739D"/>
    <w:rsid w:val="003A73C1"/>
    <w:rsid w:val="003B11C6"/>
    <w:rsid w:val="003B18D2"/>
    <w:rsid w:val="003B2449"/>
    <w:rsid w:val="003B2A70"/>
    <w:rsid w:val="003B6443"/>
    <w:rsid w:val="003B791E"/>
    <w:rsid w:val="003C05FE"/>
    <w:rsid w:val="003C08BE"/>
    <w:rsid w:val="003C1699"/>
    <w:rsid w:val="003C25D1"/>
    <w:rsid w:val="003C309D"/>
    <w:rsid w:val="003C464C"/>
    <w:rsid w:val="003C4698"/>
    <w:rsid w:val="003C58CC"/>
    <w:rsid w:val="003C609E"/>
    <w:rsid w:val="003C6275"/>
    <w:rsid w:val="003D389C"/>
    <w:rsid w:val="003D5D1D"/>
    <w:rsid w:val="003E14C2"/>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1A98"/>
    <w:rsid w:val="00412358"/>
    <w:rsid w:val="00415BC2"/>
    <w:rsid w:val="00415F27"/>
    <w:rsid w:val="00416934"/>
    <w:rsid w:val="00416A59"/>
    <w:rsid w:val="00417A99"/>
    <w:rsid w:val="00417CA8"/>
    <w:rsid w:val="004213DF"/>
    <w:rsid w:val="0042190C"/>
    <w:rsid w:val="004221ED"/>
    <w:rsid w:val="00425359"/>
    <w:rsid w:val="004274BD"/>
    <w:rsid w:val="00431589"/>
    <w:rsid w:val="004316D7"/>
    <w:rsid w:val="00431EDA"/>
    <w:rsid w:val="0043231C"/>
    <w:rsid w:val="0043242E"/>
    <w:rsid w:val="00432470"/>
    <w:rsid w:val="004328BB"/>
    <w:rsid w:val="00432F61"/>
    <w:rsid w:val="00433FFC"/>
    <w:rsid w:val="00435276"/>
    <w:rsid w:val="00435447"/>
    <w:rsid w:val="004369E1"/>
    <w:rsid w:val="00437C5D"/>
    <w:rsid w:val="004408FB"/>
    <w:rsid w:val="00441E13"/>
    <w:rsid w:val="00441EA1"/>
    <w:rsid w:val="00443C01"/>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04F"/>
    <w:rsid w:val="00465447"/>
    <w:rsid w:val="00472512"/>
    <w:rsid w:val="00475E6E"/>
    <w:rsid w:val="004773FC"/>
    <w:rsid w:val="004777ED"/>
    <w:rsid w:val="00480328"/>
    <w:rsid w:val="00480834"/>
    <w:rsid w:val="004834FC"/>
    <w:rsid w:val="00483B15"/>
    <w:rsid w:val="00483FB9"/>
    <w:rsid w:val="00484247"/>
    <w:rsid w:val="00484861"/>
    <w:rsid w:val="004863F8"/>
    <w:rsid w:val="0049389F"/>
    <w:rsid w:val="00494AE7"/>
    <w:rsid w:val="00494E21"/>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B6A61"/>
    <w:rsid w:val="004B6CC5"/>
    <w:rsid w:val="004C0212"/>
    <w:rsid w:val="004C05F9"/>
    <w:rsid w:val="004C0D14"/>
    <w:rsid w:val="004C3381"/>
    <w:rsid w:val="004C48AD"/>
    <w:rsid w:val="004C7378"/>
    <w:rsid w:val="004D0462"/>
    <w:rsid w:val="004D3B02"/>
    <w:rsid w:val="004D41F6"/>
    <w:rsid w:val="004D6006"/>
    <w:rsid w:val="004E0194"/>
    <w:rsid w:val="004E0CC8"/>
    <w:rsid w:val="004E0F42"/>
    <w:rsid w:val="004E1118"/>
    <w:rsid w:val="004E2E83"/>
    <w:rsid w:val="004E37BB"/>
    <w:rsid w:val="004E495D"/>
    <w:rsid w:val="004E7BEB"/>
    <w:rsid w:val="004E7CD4"/>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30489"/>
    <w:rsid w:val="0053132E"/>
    <w:rsid w:val="00532DA5"/>
    <w:rsid w:val="005357DE"/>
    <w:rsid w:val="00535A09"/>
    <w:rsid w:val="00535B91"/>
    <w:rsid w:val="00537820"/>
    <w:rsid w:val="00537F83"/>
    <w:rsid w:val="00542275"/>
    <w:rsid w:val="00550185"/>
    <w:rsid w:val="005526C2"/>
    <w:rsid w:val="00552F74"/>
    <w:rsid w:val="0055306E"/>
    <w:rsid w:val="00553229"/>
    <w:rsid w:val="00553A31"/>
    <w:rsid w:val="00555448"/>
    <w:rsid w:val="00557F0A"/>
    <w:rsid w:val="00561C04"/>
    <w:rsid w:val="0056213B"/>
    <w:rsid w:val="00562F82"/>
    <w:rsid w:val="00563005"/>
    <w:rsid w:val="00564913"/>
    <w:rsid w:val="00571F84"/>
    <w:rsid w:val="00572024"/>
    <w:rsid w:val="00572193"/>
    <w:rsid w:val="00574A11"/>
    <w:rsid w:val="0057592D"/>
    <w:rsid w:val="005777A4"/>
    <w:rsid w:val="00577C4E"/>
    <w:rsid w:val="005800D8"/>
    <w:rsid w:val="005814C9"/>
    <w:rsid w:val="0058214A"/>
    <w:rsid w:val="00582354"/>
    <w:rsid w:val="005846C9"/>
    <w:rsid w:val="00585667"/>
    <w:rsid w:val="00586834"/>
    <w:rsid w:val="005873FC"/>
    <w:rsid w:val="005878FA"/>
    <w:rsid w:val="00590EAF"/>
    <w:rsid w:val="00595DA6"/>
    <w:rsid w:val="005A3BE7"/>
    <w:rsid w:val="005A63F8"/>
    <w:rsid w:val="005A6A91"/>
    <w:rsid w:val="005B0066"/>
    <w:rsid w:val="005B195F"/>
    <w:rsid w:val="005B1D0B"/>
    <w:rsid w:val="005B265D"/>
    <w:rsid w:val="005B36C2"/>
    <w:rsid w:val="005B403C"/>
    <w:rsid w:val="005B55DF"/>
    <w:rsid w:val="005B74D8"/>
    <w:rsid w:val="005C37CC"/>
    <w:rsid w:val="005C3930"/>
    <w:rsid w:val="005C48E3"/>
    <w:rsid w:val="005C515F"/>
    <w:rsid w:val="005C5C14"/>
    <w:rsid w:val="005C76D8"/>
    <w:rsid w:val="005D09D2"/>
    <w:rsid w:val="005D2B1A"/>
    <w:rsid w:val="005D3118"/>
    <w:rsid w:val="005D3E2F"/>
    <w:rsid w:val="005D4308"/>
    <w:rsid w:val="005D45F2"/>
    <w:rsid w:val="005D4D37"/>
    <w:rsid w:val="005E0390"/>
    <w:rsid w:val="005E0A41"/>
    <w:rsid w:val="005E1321"/>
    <w:rsid w:val="005E2DD4"/>
    <w:rsid w:val="005E5AC2"/>
    <w:rsid w:val="005E5F39"/>
    <w:rsid w:val="005E6D43"/>
    <w:rsid w:val="005F4F8E"/>
    <w:rsid w:val="005F512C"/>
    <w:rsid w:val="005F6F64"/>
    <w:rsid w:val="005F7B0A"/>
    <w:rsid w:val="005F7E84"/>
    <w:rsid w:val="00600BAE"/>
    <w:rsid w:val="00601146"/>
    <w:rsid w:val="00601299"/>
    <w:rsid w:val="006015BB"/>
    <w:rsid w:val="00602D5D"/>
    <w:rsid w:val="00603EFA"/>
    <w:rsid w:val="006054AD"/>
    <w:rsid w:val="00605C11"/>
    <w:rsid w:val="00606440"/>
    <w:rsid w:val="006078C2"/>
    <w:rsid w:val="00610BB7"/>
    <w:rsid w:val="006171A9"/>
    <w:rsid w:val="0061787F"/>
    <w:rsid w:val="00620A05"/>
    <w:rsid w:val="00621EC4"/>
    <w:rsid w:val="00622D7E"/>
    <w:rsid w:val="00623436"/>
    <w:rsid w:val="00625472"/>
    <w:rsid w:val="006345BE"/>
    <w:rsid w:val="00634991"/>
    <w:rsid w:val="00636016"/>
    <w:rsid w:val="006406ED"/>
    <w:rsid w:val="00640863"/>
    <w:rsid w:val="00640F39"/>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0360"/>
    <w:rsid w:val="00661716"/>
    <w:rsid w:val="00661BD2"/>
    <w:rsid w:val="00661EB3"/>
    <w:rsid w:val="0066385E"/>
    <w:rsid w:val="0066451B"/>
    <w:rsid w:val="00665664"/>
    <w:rsid w:val="006673E7"/>
    <w:rsid w:val="006673F4"/>
    <w:rsid w:val="0066759F"/>
    <w:rsid w:val="00674964"/>
    <w:rsid w:val="00675B48"/>
    <w:rsid w:val="0067632D"/>
    <w:rsid w:val="00677F21"/>
    <w:rsid w:val="00680050"/>
    <w:rsid w:val="00680543"/>
    <w:rsid w:val="006808C7"/>
    <w:rsid w:val="00680B7E"/>
    <w:rsid w:val="00683124"/>
    <w:rsid w:val="00683B94"/>
    <w:rsid w:val="00683E3C"/>
    <w:rsid w:val="006865F8"/>
    <w:rsid w:val="00686692"/>
    <w:rsid w:val="00693033"/>
    <w:rsid w:val="00693321"/>
    <w:rsid w:val="0069402F"/>
    <w:rsid w:val="00694363"/>
    <w:rsid w:val="006945B7"/>
    <w:rsid w:val="00694893"/>
    <w:rsid w:val="00694DD9"/>
    <w:rsid w:val="0069603B"/>
    <w:rsid w:val="006977DF"/>
    <w:rsid w:val="006A0019"/>
    <w:rsid w:val="006A042E"/>
    <w:rsid w:val="006A12B1"/>
    <w:rsid w:val="006A32C1"/>
    <w:rsid w:val="006A414A"/>
    <w:rsid w:val="006A52E8"/>
    <w:rsid w:val="006A5F42"/>
    <w:rsid w:val="006A6103"/>
    <w:rsid w:val="006B03E3"/>
    <w:rsid w:val="006B10ED"/>
    <w:rsid w:val="006B156A"/>
    <w:rsid w:val="006B366A"/>
    <w:rsid w:val="006B51B2"/>
    <w:rsid w:val="006B5B60"/>
    <w:rsid w:val="006B6DA6"/>
    <w:rsid w:val="006C05F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721C"/>
    <w:rsid w:val="006E7ADF"/>
    <w:rsid w:val="006F3EE2"/>
    <w:rsid w:val="006F426A"/>
    <w:rsid w:val="006F5424"/>
    <w:rsid w:val="006F66ED"/>
    <w:rsid w:val="00700CBD"/>
    <w:rsid w:val="007028C7"/>
    <w:rsid w:val="00704462"/>
    <w:rsid w:val="00705327"/>
    <w:rsid w:val="0070743B"/>
    <w:rsid w:val="00710B52"/>
    <w:rsid w:val="00710C7E"/>
    <w:rsid w:val="007112FB"/>
    <w:rsid w:val="007120CE"/>
    <w:rsid w:val="00712E0E"/>
    <w:rsid w:val="00714218"/>
    <w:rsid w:val="00715FCC"/>
    <w:rsid w:val="00717E9A"/>
    <w:rsid w:val="007217A7"/>
    <w:rsid w:val="007229EB"/>
    <w:rsid w:val="00724CAD"/>
    <w:rsid w:val="0072732C"/>
    <w:rsid w:val="00727B84"/>
    <w:rsid w:val="00727BF6"/>
    <w:rsid w:val="00733BCC"/>
    <w:rsid w:val="00733DE0"/>
    <w:rsid w:val="007357C5"/>
    <w:rsid w:val="00736CEF"/>
    <w:rsid w:val="00737269"/>
    <w:rsid w:val="007376B8"/>
    <w:rsid w:val="0074031F"/>
    <w:rsid w:val="0074032D"/>
    <w:rsid w:val="00740D25"/>
    <w:rsid w:val="00741328"/>
    <w:rsid w:val="00741BBA"/>
    <w:rsid w:val="007465A4"/>
    <w:rsid w:val="00747AC8"/>
    <w:rsid w:val="00747B3E"/>
    <w:rsid w:val="00751727"/>
    <w:rsid w:val="00752569"/>
    <w:rsid w:val="007530DA"/>
    <w:rsid w:val="00753188"/>
    <w:rsid w:val="00753220"/>
    <w:rsid w:val="00754103"/>
    <w:rsid w:val="00755873"/>
    <w:rsid w:val="00755D73"/>
    <w:rsid w:val="0075696E"/>
    <w:rsid w:val="00756F76"/>
    <w:rsid w:val="007612C0"/>
    <w:rsid w:val="00761D03"/>
    <w:rsid w:val="00762644"/>
    <w:rsid w:val="007656F9"/>
    <w:rsid w:val="00766C4B"/>
    <w:rsid w:val="007679B9"/>
    <w:rsid w:val="007701A1"/>
    <w:rsid w:val="00773BCC"/>
    <w:rsid w:val="00776488"/>
    <w:rsid w:val="00776572"/>
    <w:rsid w:val="00776AC4"/>
    <w:rsid w:val="0077738D"/>
    <w:rsid w:val="007774C2"/>
    <w:rsid w:val="0078340C"/>
    <w:rsid w:val="00784F62"/>
    <w:rsid w:val="00787D28"/>
    <w:rsid w:val="0079000C"/>
    <w:rsid w:val="00790D93"/>
    <w:rsid w:val="00791CD7"/>
    <w:rsid w:val="0079430D"/>
    <w:rsid w:val="00795A2B"/>
    <w:rsid w:val="0079754C"/>
    <w:rsid w:val="007A1395"/>
    <w:rsid w:val="007B1030"/>
    <w:rsid w:val="007B19CE"/>
    <w:rsid w:val="007B4A7C"/>
    <w:rsid w:val="007B6432"/>
    <w:rsid w:val="007B6F17"/>
    <w:rsid w:val="007B7792"/>
    <w:rsid w:val="007B7C23"/>
    <w:rsid w:val="007B7E1C"/>
    <w:rsid w:val="007C0255"/>
    <w:rsid w:val="007C09C8"/>
    <w:rsid w:val="007C0C22"/>
    <w:rsid w:val="007C13ED"/>
    <w:rsid w:val="007C2707"/>
    <w:rsid w:val="007C27FD"/>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AB0"/>
    <w:rsid w:val="008000EB"/>
    <w:rsid w:val="008005F5"/>
    <w:rsid w:val="0080329B"/>
    <w:rsid w:val="00803805"/>
    <w:rsid w:val="008042AA"/>
    <w:rsid w:val="0080582D"/>
    <w:rsid w:val="0080756C"/>
    <w:rsid w:val="0081325F"/>
    <w:rsid w:val="008139DB"/>
    <w:rsid w:val="00813E50"/>
    <w:rsid w:val="008178A3"/>
    <w:rsid w:val="00821BEA"/>
    <w:rsid w:val="00822758"/>
    <w:rsid w:val="0082594B"/>
    <w:rsid w:val="00826293"/>
    <w:rsid w:val="00827ECB"/>
    <w:rsid w:val="0083076F"/>
    <w:rsid w:val="00831204"/>
    <w:rsid w:val="00831208"/>
    <w:rsid w:val="008351E1"/>
    <w:rsid w:val="0083560E"/>
    <w:rsid w:val="00835A02"/>
    <w:rsid w:val="00840B2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B0D"/>
    <w:rsid w:val="00871B33"/>
    <w:rsid w:val="00872949"/>
    <w:rsid w:val="008729C2"/>
    <w:rsid w:val="00874B15"/>
    <w:rsid w:val="00875A25"/>
    <w:rsid w:val="0087676D"/>
    <w:rsid w:val="00877468"/>
    <w:rsid w:val="00880180"/>
    <w:rsid w:val="008819F6"/>
    <w:rsid w:val="00881F71"/>
    <w:rsid w:val="00883A1F"/>
    <w:rsid w:val="00884688"/>
    <w:rsid w:val="00885C6F"/>
    <w:rsid w:val="00887146"/>
    <w:rsid w:val="00887874"/>
    <w:rsid w:val="008926EA"/>
    <w:rsid w:val="008941DB"/>
    <w:rsid w:val="008948E0"/>
    <w:rsid w:val="00894C85"/>
    <w:rsid w:val="00895C45"/>
    <w:rsid w:val="008979B9"/>
    <w:rsid w:val="008A04D0"/>
    <w:rsid w:val="008A123A"/>
    <w:rsid w:val="008A16EA"/>
    <w:rsid w:val="008A7FA6"/>
    <w:rsid w:val="008B0C2F"/>
    <w:rsid w:val="008B6162"/>
    <w:rsid w:val="008C04BB"/>
    <w:rsid w:val="008C04DF"/>
    <w:rsid w:val="008C0C9C"/>
    <w:rsid w:val="008C11BB"/>
    <w:rsid w:val="008C1971"/>
    <w:rsid w:val="008C21B1"/>
    <w:rsid w:val="008C4543"/>
    <w:rsid w:val="008C4FE8"/>
    <w:rsid w:val="008D07D3"/>
    <w:rsid w:val="008D2CAF"/>
    <w:rsid w:val="008D3ACE"/>
    <w:rsid w:val="008D50CC"/>
    <w:rsid w:val="008D51CC"/>
    <w:rsid w:val="008D7FF3"/>
    <w:rsid w:val="008E06F2"/>
    <w:rsid w:val="008E17B1"/>
    <w:rsid w:val="008E1B47"/>
    <w:rsid w:val="008E20C1"/>
    <w:rsid w:val="008E4F95"/>
    <w:rsid w:val="008F1BB5"/>
    <w:rsid w:val="008F4D52"/>
    <w:rsid w:val="008F4E41"/>
    <w:rsid w:val="008F5DA5"/>
    <w:rsid w:val="00903E5D"/>
    <w:rsid w:val="0090408D"/>
    <w:rsid w:val="00904DB6"/>
    <w:rsid w:val="00904E6B"/>
    <w:rsid w:val="00906EEC"/>
    <w:rsid w:val="00914204"/>
    <w:rsid w:val="009144B4"/>
    <w:rsid w:val="00915C7E"/>
    <w:rsid w:val="00922260"/>
    <w:rsid w:val="00922606"/>
    <w:rsid w:val="009228AD"/>
    <w:rsid w:val="00922A90"/>
    <w:rsid w:val="00922B83"/>
    <w:rsid w:val="00922D31"/>
    <w:rsid w:val="0092559F"/>
    <w:rsid w:val="00927FEB"/>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7D27"/>
    <w:rsid w:val="00950AE9"/>
    <w:rsid w:val="00950D81"/>
    <w:rsid w:val="00951B95"/>
    <w:rsid w:val="00952CB2"/>
    <w:rsid w:val="009543EB"/>
    <w:rsid w:val="009549A5"/>
    <w:rsid w:val="00957144"/>
    <w:rsid w:val="0096164A"/>
    <w:rsid w:val="00961FB4"/>
    <w:rsid w:val="009623AB"/>
    <w:rsid w:val="00965EAC"/>
    <w:rsid w:val="00967F24"/>
    <w:rsid w:val="00970A6B"/>
    <w:rsid w:val="00971178"/>
    <w:rsid w:val="009742D3"/>
    <w:rsid w:val="009750BB"/>
    <w:rsid w:val="00975E13"/>
    <w:rsid w:val="009763C4"/>
    <w:rsid w:val="00976D57"/>
    <w:rsid w:val="00977A25"/>
    <w:rsid w:val="009803F1"/>
    <w:rsid w:val="00980D5A"/>
    <w:rsid w:val="0098176E"/>
    <w:rsid w:val="009844F7"/>
    <w:rsid w:val="00985686"/>
    <w:rsid w:val="00987536"/>
    <w:rsid w:val="00987810"/>
    <w:rsid w:val="00990192"/>
    <w:rsid w:val="0099079E"/>
    <w:rsid w:val="00990902"/>
    <w:rsid w:val="00991DC3"/>
    <w:rsid w:val="009947E7"/>
    <w:rsid w:val="00995010"/>
    <w:rsid w:val="00995FFD"/>
    <w:rsid w:val="009A45B0"/>
    <w:rsid w:val="009A6A6F"/>
    <w:rsid w:val="009A6D51"/>
    <w:rsid w:val="009A7ED9"/>
    <w:rsid w:val="009B1737"/>
    <w:rsid w:val="009B1B69"/>
    <w:rsid w:val="009B518B"/>
    <w:rsid w:val="009C31B1"/>
    <w:rsid w:val="009C470D"/>
    <w:rsid w:val="009C638B"/>
    <w:rsid w:val="009D1BFF"/>
    <w:rsid w:val="009D1FF0"/>
    <w:rsid w:val="009D2696"/>
    <w:rsid w:val="009D3626"/>
    <w:rsid w:val="009D5BFD"/>
    <w:rsid w:val="009D68FB"/>
    <w:rsid w:val="009E04B3"/>
    <w:rsid w:val="009E0DFC"/>
    <w:rsid w:val="009E1D10"/>
    <w:rsid w:val="009E3B74"/>
    <w:rsid w:val="009E47BF"/>
    <w:rsid w:val="009E5B74"/>
    <w:rsid w:val="009E7C14"/>
    <w:rsid w:val="009F1266"/>
    <w:rsid w:val="009F419C"/>
    <w:rsid w:val="009F43E0"/>
    <w:rsid w:val="009F65EF"/>
    <w:rsid w:val="009F6CBB"/>
    <w:rsid w:val="00A00866"/>
    <w:rsid w:val="00A025E5"/>
    <w:rsid w:val="00A055A5"/>
    <w:rsid w:val="00A06703"/>
    <w:rsid w:val="00A12A7C"/>
    <w:rsid w:val="00A1330E"/>
    <w:rsid w:val="00A137D5"/>
    <w:rsid w:val="00A1461F"/>
    <w:rsid w:val="00A14E4B"/>
    <w:rsid w:val="00A20E8F"/>
    <w:rsid w:val="00A22DCF"/>
    <w:rsid w:val="00A22DFD"/>
    <w:rsid w:val="00A2507E"/>
    <w:rsid w:val="00A25562"/>
    <w:rsid w:val="00A340C0"/>
    <w:rsid w:val="00A36676"/>
    <w:rsid w:val="00A375DC"/>
    <w:rsid w:val="00A402A1"/>
    <w:rsid w:val="00A402D8"/>
    <w:rsid w:val="00A40E70"/>
    <w:rsid w:val="00A43154"/>
    <w:rsid w:val="00A44175"/>
    <w:rsid w:val="00A46A2D"/>
    <w:rsid w:val="00A50538"/>
    <w:rsid w:val="00A50CE8"/>
    <w:rsid w:val="00A50D22"/>
    <w:rsid w:val="00A512C3"/>
    <w:rsid w:val="00A52A4C"/>
    <w:rsid w:val="00A562C5"/>
    <w:rsid w:val="00A571FE"/>
    <w:rsid w:val="00A60395"/>
    <w:rsid w:val="00A622B3"/>
    <w:rsid w:val="00A6287E"/>
    <w:rsid w:val="00A63609"/>
    <w:rsid w:val="00A63B8B"/>
    <w:rsid w:val="00A64D25"/>
    <w:rsid w:val="00A66034"/>
    <w:rsid w:val="00A73CA4"/>
    <w:rsid w:val="00A76CE0"/>
    <w:rsid w:val="00A77880"/>
    <w:rsid w:val="00A77C2C"/>
    <w:rsid w:val="00A80062"/>
    <w:rsid w:val="00A804CD"/>
    <w:rsid w:val="00A82891"/>
    <w:rsid w:val="00A83F90"/>
    <w:rsid w:val="00A841CC"/>
    <w:rsid w:val="00A856EB"/>
    <w:rsid w:val="00A86069"/>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C079B"/>
    <w:rsid w:val="00AC158A"/>
    <w:rsid w:val="00AC2E11"/>
    <w:rsid w:val="00AC4F34"/>
    <w:rsid w:val="00AC6EC2"/>
    <w:rsid w:val="00AC7C69"/>
    <w:rsid w:val="00AD0E41"/>
    <w:rsid w:val="00AD5FB4"/>
    <w:rsid w:val="00AE28BC"/>
    <w:rsid w:val="00AE3A63"/>
    <w:rsid w:val="00AE4552"/>
    <w:rsid w:val="00AE5435"/>
    <w:rsid w:val="00AE616D"/>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4561"/>
    <w:rsid w:val="00B14C20"/>
    <w:rsid w:val="00B16238"/>
    <w:rsid w:val="00B17973"/>
    <w:rsid w:val="00B20CFB"/>
    <w:rsid w:val="00B222EE"/>
    <w:rsid w:val="00B236EC"/>
    <w:rsid w:val="00B23F8B"/>
    <w:rsid w:val="00B264E8"/>
    <w:rsid w:val="00B27724"/>
    <w:rsid w:val="00B30F3D"/>
    <w:rsid w:val="00B31092"/>
    <w:rsid w:val="00B348AC"/>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DB6"/>
    <w:rsid w:val="00B77DBF"/>
    <w:rsid w:val="00B80947"/>
    <w:rsid w:val="00B810DF"/>
    <w:rsid w:val="00B81FBB"/>
    <w:rsid w:val="00B82903"/>
    <w:rsid w:val="00B86837"/>
    <w:rsid w:val="00B902B9"/>
    <w:rsid w:val="00B904B3"/>
    <w:rsid w:val="00B90989"/>
    <w:rsid w:val="00B911C0"/>
    <w:rsid w:val="00B92C59"/>
    <w:rsid w:val="00B95BFE"/>
    <w:rsid w:val="00B96C22"/>
    <w:rsid w:val="00B972D3"/>
    <w:rsid w:val="00B97B29"/>
    <w:rsid w:val="00BA1705"/>
    <w:rsid w:val="00BA2132"/>
    <w:rsid w:val="00BA6694"/>
    <w:rsid w:val="00BA6F63"/>
    <w:rsid w:val="00BA7232"/>
    <w:rsid w:val="00BA77D6"/>
    <w:rsid w:val="00BB3493"/>
    <w:rsid w:val="00BB4389"/>
    <w:rsid w:val="00BB5884"/>
    <w:rsid w:val="00BB61BE"/>
    <w:rsid w:val="00BB7101"/>
    <w:rsid w:val="00BC0B6D"/>
    <w:rsid w:val="00BC2797"/>
    <w:rsid w:val="00BC3F5B"/>
    <w:rsid w:val="00BC4227"/>
    <w:rsid w:val="00BC48D2"/>
    <w:rsid w:val="00BC788A"/>
    <w:rsid w:val="00BD1366"/>
    <w:rsid w:val="00BD3419"/>
    <w:rsid w:val="00BD43E5"/>
    <w:rsid w:val="00BD4824"/>
    <w:rsid w:val="00BD59E3"/>
    <w:rsid w:val="00BD7FD7"/>
    <w:rsid w:val="00BE0315"/>
    <w:rsid w:val="00BE05F0"/>
    <w:rsid w:val="00BE06CF"/>
    <w:rsid w:val="00BE0E2A"/>
    <w:rsid w:val="00BE1772"/>
    <w:rsid w:val="00BE1DEB"/>
    <w:rsid w:val="00BF031F"/>
    <w:rsid w:val="00BF0CBB"/>
    <w:rsid w:val="00BF0E8E"/>
    <w:rsid w:val="00BF0F7C"/>
    <w:rsid w:val="00BF16E5"/>
    <w:rsid w:val="00BF1A7F"/>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EE"/>
    <w:rsid w:val="00C16BFB"/>
    <w:rsid w:val="00C1712F"/>
    <w:rsid w:val="00C172C6"/>
    <w:rsid w:val="00C21525"/>
    <w:rsid w:val="00C229F8"/>
    <w:rsid w:val="00C23389"/>
    <w:rsid w:val="00C24187"/>
    <w:rsid w:val="00C277EE"/>
    <w:rsid w:val="00C31702"/>
    <w:rsid w:val="00C322F1"/>
    <w:rsid w:val="00C32D6C"/>
    <w:rsid w:val="00C33284"/>
    <w:rsid w:val="00C351D1"/>
    <w:rsid w:val="00C35844"/>
    <w:rsid w:val="00C371FA"/>
    <w:rsid w:val="00C41B20"/>
    <w:rsid w:val="00C429EE"/>
    <w:rsid w:val="00C4319E"/>
    <w:rsid w:val="00C449AF"/>
    <w:rsid w:val="00C45324"/>
    <w:rsid w:val="00C46019"/>
    <w:rsid w:val="00C46F61"/>
    <w:rsid w:val="00C478CB"/>
    <w:rsid w:val="00C47BB2"/>
    <w:rsid w:val="00C47CF0"/>
    <w:rsid w:val="00C51C28"/>
    <w:rsid w:val="00C532B3"/>
    <w:rsid w:val="00C53456"/>
    <w:rsid w:val="00C55B69"/>
    <w:rsid w:val="00C57922"/>
    <w:rsid w:val="00C60C2D"/>
    <w:rsid w:val="00C61B57"/>
    <w:rsid w:val="00C636C5"/>
    <w:rsid w:val="00C6485F"/>
    <w:rsid w:val="00C654CB"/>
    <w:rsid w:val="00C65DE0"/>
    <w:rsid w:val="00C70043"/>
    <w:rsid w:val="00C735FB"/>
    <w:rsid w:val="00C73861"/>
    <w:rsid w:val="00C7432C"/>
    <w:rsid w:val="00C74532"/>
    <w:rsid w:val="00C74F03"/>
    <w:rsid w:val="00C75791"/>
    <w:rsid w:val="00C76304"/>
    <w:rsid w:val="00C80D3A"/>
    <w:rsid w:val="00C824A5"/>
    <w:rsid w:val="00C83B2D"/>
    <w:rsid w:val="00C84955"/>
    <w:rsid w:val="00C86467"/>
    <w:rsid w:val="00C86AB2"/>
    <w:rsid w:val="00C86B23"/>
    <w:rsid w:val="00C9060F"/>
    <w:rsid w:val="00C942C1"/>
    <w:rsid w:val="00C95C72"/>
    <w:rsid w:val="00C96B86"/>
    <w:rsid w:val="00C97DF7"/>
    <w:rsid w:val="00CA0560"/>
    <w:rsid w:val="00CA15A6"/>
    <w:rsid w:val="00CA1A6A"/>
    <w:rsid w:val="00CA6108"/>
    <w:rsid w:val="00CA664F"/>
    <w:rsid w:val="00CA7867"/>
    <w:rsid w:val="00CB1D8D"/>
    <w:rsid w:val="00CB4667"/>
    <w:rsid w:val="00CB4E3C"/>
    <w:rsid w:val="00CB766B"/>
    <w:rsid w:val="00CC0061"/>
    <w:rsid w:val="00CC0706"/>
    <w:rsid w:val="00CC356D"/>
    <w:rsid w:val="00CC65ED"/>
    <w:rsid w:val="00CC67BB"/>
    <w:rsid w:val="00CD109D"/>
    <w:rsid w:val="00CD1E9D"/>
    <w:rsid w:val="00CD42DA"/>
    <w:rsid w:val="00CD60AD"/>
    <w:rsid w:val="00CD6ABB"/>
    <w:rsid w:val="00CE1EEE"/>
    <w:rsid w:val="00CE5CF2"/>
    <w:rsid w:val="00CE6D92"/>
    <w:rsid w:val="00CE7E6A"/>
    <w:rsid w:val="00CF13B6"/>
    <w:rsid w:val="00CF3572"/>
    <w:rsid w:val="00CF734A"/>
    <w:rsid w:val="00D00A5D"/>
    <w:rsid w:val="00D00A87"/>
    <w:rsid w:val="00D0210E"/>
    <w:rsid w:val="00D02303"/>
    <w:rsid w:val="00D02F2F"/>
    <w:rsid w:val="00D03F38"/>
    <w:rsid w:val="00D05A6C"/>
    <w:rsid w:val="00D1010E"/>
    <w:rsid w:val="00D1074E"/>
    <w:rsid w:val="00D11272"/>
    <w:rsid w:val="00D116DB"/>
    <w:rsid w:val="00D13087"/>
    <w:rsid w:val="00D15854"/>
    <w:rsid w:val="00D16FA0"/>
    <w:rsid w:val="00D17875"/>
    <w:rsid w:val="00D2214D"/>
    <w:rsid w:val="00D2604C"/>
    <w:rsid w:val="00D26DCE"/>
    <w:rsid w:val="00D30DD1"/>
    <w:rsid w:val="00D3250C"/>
    <w:rsid w:val="00D34455"/>
    <w:rsid w:val="00D37CCE"/>
    <w:rsid w:val="00D42103"/>
    <w:rsid w:val="00D442A3"/>
    <w:rsid w:val="00D44BB3"/>
    <w:rsid w:val="00D45EF2"/>
    <w:rsid w:val="00D473D8"/>
    <w:rsid w:val="00D47E0A"/>
    <w:rsid w:val="00D5130A"/>
    <w:rsid w:val="00D51769"/>
    <w:rsid w:val="00D522D8"/>
    <w:rsid w:val="00D52359"/>
    <w:rsid w:val="00D5458D"/>
    <w:rsid w:val="00D5491C"/>
    <w:rsid w:val="00D554E8"/>
    <w:rsid w:val="00D5748E"/>
    <w:rsid w:val="00D612A9"/>
    <w:rsid w:val="00D61FEF"/>
    <w:rsid w:val="00D63236"/>
    <w:rsid w:val="00D64067"/>
    <w:rsid w:val="00D66935"/>
    <w:rsid w:val="00D675E3"/>
    <w:rsid w:val="00D7051D"/>
    <w:rsid w:val="00D70C68"/>
    <w:rsid w:val="00D72CD7"/>
    <w:rsid w:val="00D76099"/>
    <w:rsid w:val="00D80021"/>
    <w:rsid w:val="00D804B8"/>
    <w:rsid w:val="00D8114A"/>
    <w:rsid w:val="00D81AD4"/>
    <w:rsid w:val="00D8415D"/>
    <w:rsid w:val="00D8724C"/>
    <w:rsid w:val="00D903DE"/>
    <w:rsid w:val="00D919AA"/>
    <w:rsid w:val="00D92503"/>
    <w:rsid w:val="00D938C1"/>
    <w:rsid w:val="00D94FEF"/>
    <w:rsid w:val="00D9557C"/>
    <w:rsid w:val="00DA0A64"/>
    <w:rsid w:val="00DA2494"/>
    <w:rsid w:val="00DA47A8"/>
    <w:rsid w:val="00DA5164"/>
    <w:rsid w:val="00DA520E"/>
    <w:rsid w:val="00DA5235"/>
    <w:rsid w:val="00DB206B"/>
    <w:rsid w:val="00DB3592"/>
    <w:rsid w:val="00DB3751"/>
    <w:rsid w:val="00DB3D26"/>
    <w:rsid w:val="00DB4338"/>
    <w:rsid w:val="00DB4669"/>
    <w:rsid w:val="00DB4C93"/>
    <w:rsid w:val="00DB4FB2"/>
    <w:rsid w:val="00DB64EF"/>
    <w:rsid w:val="00DC23E5"/>
    <w:rsid w:val="00DC3F8A"/>
    <w:rsid w:val="00DC6AE3"/>
    <w:rsid w:val="00DC79CF"/>
    <w:rsid w:val="00DD2144"/>
    <w:rsid w:val="00DD3355"/>
    <w:rsid w:val="00DD3603"/>
    <w:rsid w:val="00DD46E9"/>
    <w:rsid w:val="00DD4C62"/>
    <w:rsid w:val="00DE0D00"/>
    <w:rsid w:val="00DE16CD"/>
    <w:rsid w:val="00DE6492"/>
    <w:rsid w:val="00DE7625"/>
    <w:rsid w:val="00DF09DA"/>
    <w:rsid w:val="00DF0DC5"/>
    <w:rsid w:val="00DF1914"/>
    <w:rsid w:val="00DF280B"/>
    <w:rsid w:val="00DF28A7"/>
    <w:rsid w:val="00DF28B7"/>
    <w:rsid w:val="00DF3B36"/>
    <w:rsid w:val="00DF56A1"/>
    <w:rsid w:val="00DF68C0"/>
    <w:rsid w:val="00DF6C53"/>
    <w:rsid w:val="00DF6CD5"/>
    <w:rsid w:val="00DF7F5A"/>
    <w:rsid w:val="00E00FFD"/>
    <w:rsid w:val="00E014B9"/>
    <w:rsid w:val="00E01993"/>
    <w:rsid w:val="00E04C02"/>
    <w:rsid w:val="00E053B2"/>
    <w:rsid w:val="00E0626F"/>
    <w:rsid w:val="00E06E93"/>
    <w:rsid w:val="00E07FDD"/>
    <w:rsid w:val="00E1281E"/>
    <w:rsid w:val="00E139D5"/>
    <w:rsid w:val="00E14CA5"/>
    <w:rsid w:val="00E152DF"/>
    <w:rsid w:val="00E2036F"/>
    <w:rsid w:val="00E22D1B"/>
    <w:rsid w:val="00E235F5"/>
    <w:rsid w:val="00E23783"/>
    <w:rsid w:val="00E251A4"/>
    <w:rsid w:val="00E251E0"/>
    <w:rsid w:val="00E2621C"/>
    <w:rsid w:val="00E26411"/>
    <w:rsid w:val="00E306E7"/>
    <w:rsid w:val="00E307B6"/>
    <w:rsid w:val="00E31E10"/>
    <w:rsid w:val="00E31F10"/>
    <w:rsid w:val="00E41AD6"/>
    <w:rsid w:val="00E42017"/>
    <w:rsid w:val="00E42730"/>
    <w:rsid w:val="00E46268"/>
    <w:rsid w:val="00E552F7"/>
    <w:rsid w:val="00E55854"/>
    <w:rsid w:val="00E57624"/>
    <w:rsid w:val="00E61DAB"/>
    <w:rsid w:val="00E628AD"/>
    <w:rsid w:val="00E64339"/>
    <w:rsid w:val="00E66BA6"/>
    <w:rsid w:val="00E677BD"/>
    <w:rsid w:val="00E70C44"/>
    <w:rsid w:val="00E72B6E"/>
    <w:rsid w:val="00E73896"/>
    <w:rsid w:val="00E74616"/>
    <w:rsid w:val="00E80B7F"/>
    <w:rsid w:val="00E80CDA"/>
    <w:rsid w:val="00E812E9"/>
    <w:rsid w:val="00E82BD5"/>
    <w:rsid w:val="00E84061"/>
    <w:rsid w:val="00E8445B"/>
    <w:rsid w:val="00E84D9B"/>
    <w:rsid w:val="00E85291"/>
    <w:rsid w:val="00E85E3E"/>
    <w:rsid w:val="00E86C3D"/>
    <w:rsid w:val="00E872A7"/>
    <w:rsid w:val="00E94E26"/>
    <w:rsid w:val="00E956A8"/>
    <w:rsid w:val="00E963AD"/>
    <w:rsid w:val="00E96685"/>
    <w:rsid w:val="00EA0604"/>
    <w:rsid w:val="00EA19E9"/>
    <w:rsid w:val="00EA1C03"/>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08DD"/>
    <w:rsid w:val="00ED53EE"/>
    <w:rsid w:val="00ED79E7"/>
    <w:rsid w:val="00EE10F4"/>
    <w:rsid w:val="00EE198A"/>
    <w:rsid w:val="00EE1F4D"/>
    <w:rsid w:val="00EE220A"/>
    <w:rsid w:val="00EE2853"/>
    <w:rsid w:val="00EE2EBF"/>
    <w:rsid w:val="00EE300B"/>
    <w:rsid w:val="00EE3DDC"/>
    <w:rsid w:val="00EE5E15"/>
    <w:rsid w:val="00EE7304"/>
    <w:rsid w:val="00EE7579"/>
    <w:rsid w:val="00EE77C8"/>
    <w:rsid w:val="00EF255E"/>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5BF5"/>
    <w:rsid w:val="00F168DE"/>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15E4"/>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39E1"/>
    <w:rsid w:val="00F65054"/>
    <w:rsid w:val="00F669C5"/>
    <w:rsid w:val="00F70F2B"/>
    <w:rsid w:val="00F7224D"/>
    <w:rsid w:val="00F72DEA"/>
    <w:rsid w:val="00F73B4B"/>
    <w:rsid w:val="00F76888"/>
    <w:rsid w:val="00F77F40"/>
    <w:rsid w:val="00F803B0"/>
    <w:rsid w:val="00F80683"/>
    <w:rsid w:val="00F80E14"/>
    <w:rsid w:val="00F80E25"/>
    <w:rsid w:val="00F869B7"/>
    <w:rsid w:val="00F9005C"/>
    <w:rsid w:val="00F904AE"/>
    <w:rsid w:val="00F91CE7"/>
    <w:rsid w:val="00F92C20"/>
    <w:rsid w:val="00F954D4"/>
    <w:rsid w:val="00FA0966"/>
    <w:rsid w:val="00FA1E5C"/>
    <w:rsid w:val="00FA348E"/>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46A1"/>
    <w:rsid w:val="00FB4FE6"/>
    <w:rsid w:val="00FB5D74"/>
    <w:rsid w:val="00FB7121"/>
    <w:rsid w:val="00FC08A2"/>
    <w:rsid w:val="00FC12F8"/>
    <w:rsid w:val="00FC23AE"/>
    <w:rsid w:val="00FC25B6"/>
    <w:rsid w:val="00FC31E2"/>
    <w:rsid w:val="00FC37BF"/>
    <w:rsid w:val="00FC3A0E"/>
    <w:rsid w:val="00FC4B44"/>
    <w:rsid w:val="00FC5AD8"/>
    <w:rsid w:val="00FD0A3A"/>
    <w:rsid w:val="00FD16AF"/>
    <w:rsid w:val="00FD1F4D"/>
    <w:rsid w:val="00FD2A3E"/>
    <w:rsid w:val="00FD4342"/>
    <w:rsid w:val="00FD7077"/>
    <w:rsid w:val="00FE196D"/>
    <w:rsid w:val="00FE1AB9"/>
    <w:rsid w:val="00FE5B7C"/>
    <w:rsid w:val="00FE5BBC"/>
    <w:rsid w:val="00FE785C"/>
    <w:rsid w:val="00FF507F"/>
    <w:rsid w:val="00FF649E"/>
    <w:rsid w:val="00FF6796"/>
    <w:rsid w:val="00FF6FCC"/>
    <w:rsid w:val="00FF6FE3"/>
    <w:rsid w:val="00FF709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3A6D174C-D785-4E71-BB59-2AF09E73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3"/>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5"/>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 w:type="character" w:customStyle="1" w:styleId="PargrafodaListaChar">
    <w:name w:val="Parágrafo da Lista Char"/>
    <w:basedOn w:val="Fontepargpadro"/>
    <w:link w:val="PargrafodaLista"/>
    <w:uiPriority w:val="1"/>
    <w:rsid w:val="005B265D"/>
    <w:rPr>
      <w:rFonts w:ascii="Arial" w:hAnsi="Arial" w:cs="Tahoma"/>
      <w:szCs w:val="24"/>
    </w:rPr>
  </w:style>
  <w:style w:type="paragraph" w:customStyle="1" w:styleId="Textbody">
    <w:name w:val="Text body"/>
    <w:basedOn w:val="Normal"/>
    <w:rsid w:val="009947E7"/>
    <w:pPr>
      <w:suppressAutoHyphens/>
      <w:autoSpaceDN w:val="0"/>
      <w:spacing w:after="140" w:line="276" w:lineRule="auto"/>
      <w:textAlignment w:val="baseline"/>
    </w:pPr>
    <w:rPr>
      <w:rFonts w:ascii="Liberation Serif" w:eastAsia="SimSun" w:hAnsi="Liberation Serif" w:cs="Lucida Sans"/>
      <w:kern w:val="3"/>
      <w:sz w:val="24"/>
      <w:lang w:eastAsia="zh-CN" w:bidi="hi-IN"/>
    </w:rPr>
  </w:style>
  <w:style w:type="paragraph" w:customStyle="1" w:styleId="Standard">
    <w:name w:val="Standard"/>
    <w:rsid w:val="0069402F"/>
    <w:pPr>
      <w:suppressAutoHyphens/>
      <w:autoSpaceDN w:val="0"/>
      <w:textAlignment w:val="baseline"/>
    </w:pPr>
    <w:rPr>
      <w:rFonts w:ascii="Liberation Serif" w:eastAsia="SimSun" w:hAnsi="Liberation Serif" w:cs="Lucida Sans"/>
      <w:kern w:val="3"/>
      <w:sz w:val="24"/>
      <w:szCs w:val="24"/>
      <w:lang w:eastAsia="zh-CN" w:bidi="hi-IN"/>
    </w:rPr>
  </w:style>
  <w:style w:type="paragraph" w:customStyle="1" w:styleId="paragrafonumeradonivel2">
    <w:name w:val="paragrafo_numerado_nivel2"/>
    <w:basedOn w:val="Normal"/>
    <w:rsid w:val="00FC08A2"/>
    <w:pPr>
      <w:spacing w:before="100" w:beforeAutospacing="1" w:after="100" w:afterAutospacing="1"/>
    </w:pPr>
    <w:rPr>
      <w:rFonts w:ascii="Times New Roman" w:hAnsi="Times New Roman" w:cs="Times New Roman"/>
      <w:sz w:val="24"/>
    </w:rPr>
  </w:style>
  <w:style w:type="character" w:customStyle="1" w:styleId="acopre">
    <w:name w:val="acopre"/>
    <w:basedOn w:val="Fontepargpadro"/>
    <w:rsid w:val="00D70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9209">
      <w:bodyDiv w:val="1"/>
      <w:marLeft w:val="0"/>
      <w:marRight w:val="0"/>
      <w:marTop w:val="0"/>
      <w:marBottom w:val="0"/>
      <w:divBdr>
        <w:top w:val="none" w:sz="0" w:space="0" w:color="auto"/>
        <w:left w:val="none" w:sz="0" w:space="0" w:color="auto"/>
        <w:bottom w:val="none" w:sz="0" w:space="0" w:color="auto"/>
        <w:right w:val="none" w:sz="0" w:space="0" w:color="auto"/>
      </w:divBdr>
    </w:div>
    <w:div w:id="98839072">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36744066">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1567789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576481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3925252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28919">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31381952">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6012807">
      <w:bodyDiv w:val="1"/>
      <w:marLeft w:val="0"/>
      <w:marRight w:val="0"/>
      <w:marTop w:val="0"/>
      <w:marBottom w:val="0"/>
      <w:divBdr>
        <w:top w:val="none" w:sz="0" w:space="0" w:color="auto"/>
        <w:left w:val="none" w:sz="0" w:space="0" w:color="auto"/>
        <w:bottom w:val="none" w:sz="0" w:space="0" w:color="auto"/>
        <w:right w:val="none" w:sz="0" w:space="0" w:color="auto"/>
      </w:divBdr>
    </w:div>
    <w:div w:id="1274290950">
      <w:bodyDiv w:val="1"/>
      <w:marLeft w:val="0"/>
      <w:marRight w:val="0"/>
      <w:marTop w:val="0"/>
      <w:marBottom w:val="0"/>
      <w:divBdr>
        <w:top w:val="none" w:sz="0" w:space="0" w:color="auto"/>
        <w:left w:val="none" w:sz="0" w:space="0" w:color="auto"/>
        <w:bottom w:val="none" w:sz="0" w:space="0" w:color="auto"/>
        <w:right w:val="none" w:sz="0" w:space="0" w:color="auto"/>
      </w:divBdr>
    </w:div>
    <w:div w:id="1304894593">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56975227">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2198056">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555A26F6-7F40-4494-B91A-4F9AE8968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2CC3C-1A72-49EA-9A48-E23D27809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3357</TotalTime>
  <Pages>1</Pages>
  <Words>8096</Words>
  <Characters>43721</Characters>
  <Application>Microsoft Office Word</Application>
  <DocSecurity>0</DocSecurity>
  <Lines>364</Lines>
  <Paragraphs>103</Paragraphs>
  <ScaleCrop>false</ScaleCrop>
  <HeadingPairs>
    <vt:vector size="4" baseType="variant">
      <vt:variant>
        <vt:lpstr>Título</vt:lpstr>
      </vt:variant>
      <vt:variant>
        <vt:i4>1</vt:i4>
      </vt:variant>
      <vt:variant>
        <vt:lpstr>Títulos</vt:lpstr>
      </vt:variant>
      <vt:variant>
        <vt:i4>22</vt:i4>
      </vt:variant>
    </vt:vector>
  </HeadingPairs>
  <TitlesOfParts>
    <vt:vector size="23" baseType="lpstr">
      <vt:lpstr>NOTAS EXPLICATIVAS</vt:lpstr>
      <vt:lpstr>DO OBJETO</vt:lpstr>
      <vt:lpstr>JUSTIFICATIVA E OBJETIVO DA CONTRATAÇÃO</vt:lpstr>
      <vt:lpstr>DESCRIÇÃO DA SOLUÇÃO:</vt:lpstr>
      <vt:lpstr>DA CLASSIFICAÇÃO DOS SERVIÇOS E FORMA DE SELEÇÃO DO FORNECEDOR</vt:lpstr>
      <vt:lpstr>REQUISITOS DA CONTRATAÇÃO</vt:lpstr>
      <vt:lpstr>VISTORIA PARA A LICITAÇÃO</vt:lpstr>
      <vt:lpstr>MODELO DE EXECUÇÃO DO OBJETO</vt:lpstr>
      <vt:lpstr>MODELO DE GESTÃO DO CONTRATO E CRITÉRIOS DE MEDIÇÃO E PAGAMENTO:</vt:lpstr>
      <vt:lpstr/>
      <vt:lpstr>MATERIAIS A SEREM DISPONIBILIZADOS</vt:lpstr>
      <vt:lpstr>OBRIGAÇÕES DA CONTRATANTE</vt:lpstr>
      <vt:lpstr>OBRIGAÇÕES DA CONTRATADA</vt:lpstr>
      <vt:lpstr>DA SUBCONTRATAÇÃO  </vt:lpstr>
      <vt:lpstr>ALTERAÇÃO SUBJETIVA</vt:lpstr>
      <vt:lpstr>CONTROLE E FISCALIZAÇÃO DA EXECUÇÃO </vt:lpstr>
      <vt:lpstr>DO RECEBIMENTO E ACEITAÇÃO DO OBJETO  </vt:lpstr>
      <vt:lpstr>DO PAGAMENTO</vt:lpstr>
      <vt:lpstr>GARANTIA DA EXECUÇÃO</vt:lpstr>
      <vt:lpstr>DAS SANÇÕES ADMINISTRATIVAS</vt:lpstr>
      <vt:lpstr>CRITÉRIOS DE SELEÇÃO DO FORNECEDOR.</vt:lpstr>
      <vt:lpstr>ESTIMATIVA DE PREÇOS E PREÇOS REFERENCIAIS.</vt:lpstr>
      <vt:lpstr>DOS RECURSOS ORÇAMENTÁRIOS.</vt:lpstr>
    </vt:vector>
  </TitlesOfParts>
  <Company>EDUARDO DOTTI</Company>
  <LinksUpToDate>false</LinksUpToDate>
  <CharactersWithSpaces>51714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Walmir Maia Rocha Lima Neto</cp:lastModifiedBy>
  <cp:revision>76</cp:revision>
  <cp:lastPrinted>2017-09-20T11:39:00Z</cp:lastPrinted>
  <dcterms:created xsi:type="dcterms:W3CDTF">2020-01-20T18:34:00Z</dcterms:created>
  <dcterms:modified xsi:type="dcterms:W3CDTF">2020-12-15T00:30:00Z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